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B9083" w14:textId="77777777" w:rsidR="003001E7" w:rsidRDefault="003001E7" w:rsidP="003001E7">
      <w:pPr>
        <w:rPr>
          <w:rFonts w:hint="eastAsia"/>
        </w:rPr>
      </w:pPr>
    </w:p>
    <w:p w14:paraId="36B2F8B4" w14:textId="2BCA5094" w:rsidR="00CE0B6C" w:rsidRPr="009C03D4" w:rsidRDefault="003001E7" w:rsidP="003001E7">
      <w:pPr>
        <w:rPr>
          <w:rFonts w:eastAsiaTheme="minorHAnsi"/>
          <w:szCs w:val="21"/>
          <w:shd w:val="clear" w:color="auto" w:fill="FFFFFF" w:themeFill="background1"/>
        </w:rPr>
      </w:pPr>
      <w:proofErr w:type="gramStart"/>
      <w:r w:rsidRPr="009C03D4">
        <w:rPr>
          <w:rFonts w:eastAsiaTheme="minorHAnsi" w:hint="eastAsia"/>
          <w:szCs w:val="21"/>
          <w:shd w:val="clear" w:color="auto" w:fill="FFFFFF" w:themeFill="background1"/>
        </w:rPr>
        <w:t>一</w:t>
      </w:r>
      <w:proofErr w:type="gramEnd"/>
      <w:r w:rsidRPr="009C03D4">
        <w:rPr>
          <w:rFonts w:eastAsiaTheme="minorHAnsi" w:hint="eastAsia"/>
          <w:szCs w:val="21"/>
          <w:shd w:val="clear" w:color="auto" w:fill="FFFFFF" w:themeFill="background1"/>
        </w:rPr>
        <w:t>．</w:t>
      </w:r>
    </w:p>
    <w:p w14:paraId="0987E510" w14:textId="77777777" w:rsidR="0075583F" w:rsidRPr="009C03D4" w:rsidRDefault="0075583F" w:rsidP="0075583F">
      <w:pPr>
        <w:rPr>
          <w:rFonts w:eastAsiaTheme="minorHAnsi" w:hint="eastAsia"/>
          <w:szCs w:val="21"/>
          <w:shd w:val="clear" w:color="auto" w:fill="FFFFFF" w:themeFill="background1"/>
        </w:rPr>
      </w:pPr>
    </w:p>
    <w:p w14:paraId="7DB52F59" w14:textId="77777777" w:rsidR="00467EC8" w:rsidRPr="009C03D4" w:rsidRDefault="0075583F" w:rsidP="009C01C4">
      <w:pPr>
        <w:rPr>
          <w:rFonts w:eastAsiaTheme="minorHAnsi"/>
          <w:szCs w:val="21"/>
          <w:shd w:val="clear" w:color="auto" w:fill="FFFFFF" w:themeFill="background1"/>
        </w:rPr>
      </w:pPr>
      <w:r w:rsidRPr="009C03D4">
        <w:rPr>
          <w:rFonts w:eastAsiaTheme="minorHAnsi" w:hint="eastAsia"/>
          <w:szCs w:val="21"/>
          <w:shd w:val="clear" w:color="auto" w:fill="FFFFFF" w:themeFill="background1"/>
        </w:rPr>
        <w:t>案件介绍：</w:t>
      </w:r>
    </w:p>
    <w:p w14:paraId="50CA263A" w14:textId="7CCA7346" w:rsidR="0075583F" w:rsidRPr="009C03D4" w:rsidRDefault="00467EC8" w:rsidP="009C01C4">
      <w:pPr>
        <w:rPr>
          <w:rFonts w:eastAsiaTheme="minorHAnsi"/>
          <w:szCs w:val="21"/>
          <w:shd w:val="clear" w:color="auto" w:fill="FFFFFF" w:themeFill="background1"/>
        </w:rPr>
      </w:pPr>
      <w:r w:rsidRPr="009C03D4">
        <w:rPr>
          <w:rFonts w:eastAsiaTheme="minorHAnsi" w:cs="Segoe UI"/>
          <w:szCs w:val="21"/>
          <w:shd w:val="clear" w:color="auto" w:fill="FFFFFF" w:themeFill="background1"/>
        </w:rPr>
        <w:t>Miranda v. Arizona (1966) was a landmark Supreme Court decision that established a code of conduct for police during interrogations of criminal suspects. Miranda ruled that the police must inform arrested persons of their constitutional rights to remain silent, to have an attorney present, and to have an attorney appointed if they cannot afford one. The case was based on the appeal of Ernesto Miranda, who was convicted of rape and kidnapping based on his confession that was obtained without informing him of his rights. </w:t>
      </w:r>
      <w:hyperlink r:id="rId6" w:tgtFrame="_blank" w:history="1">
        <w:r w:rsidRPr="009C03D4">
          <w:rPr>
            <w:rStyle w:val="af0"/>
            <w:rFonts w:eastAsiaTheme="minorHAnsi" w:cs="Segoe UI"/>
            <w:color w:val="auto"/>
            <w:szCs w:val="21"/>
            <w:u w:val="none"/>
            <w:shd w:val="clear" w:color="auto" w:fill="FFFFFF" w:themeFill="background1"/>
          </w:rPr>
          <w:t>The Supreme Court overturned his conviction, finding that his Fifth Amendment right against self-incrimination was violated</w:t>
        </w:r>
      </w:hyperlink>
      <w:r w:rsidRPr="009C03D4">
        <w:rPr>
          <w:rFonts w:eastAsiaTheme="minorHAnsi" w:hint="eastAsia"/>
          <w:szCs w:val="21"/>
          <w:shd w:val="clear" w:color="auto" w:fill="FFFFFF" w:themeFill="background1"/>
        </w:rPr>
        <w:t>.</w:t>
      </w:r>
    </w:p>
    <w:p w14:paraId="173A68B8" w14:textId="77777777" w:rsidR="007C5F07" w:rsidRPr="009C03D4" w:rsidRDefault="007C5F07" w:rsidP="009C01C4">
      <w:pPr>
        <w:rPr>
          <w:rFonts w:eastAsiaTheme="minorHAnsi" w:hint="eastAsia"/>
          <w:szCs w:val="21"/>
          <w:shd w:val="clear" w:color="auto" w:fill="FFFFFF" w:themeFill="background1"/>
        </w:rPr>
      </w:pPr>
    </w:p>
    <w:p w14:paraId="6BD7BFF2" w14:textId="78316C37" w:rsidR="009C01C4" w:rsidRPr="009C03D4" w:rsidRDefault="007C5F07" w:rsidP="009C01C4">
      <w:pPr>
        <w:rPr>
          <w:rFonts w:eastAsiaTheme="minorHAnsi"/>
          <w:szCs w:val="21"/>
          <w:shd w:val="clear" w:color="auto" w:fill="FFFFFF" w:themeFill="background1"/>
        </w:rPr>
      </w:pPr>
      <w:r w:rsidRPr="009C03D4">
        <w:rPr>
          <w:rFonts w:eastAsiaTheme="minorHAnsi" w:hint="eastAsia"/>
          <w:szCs w:val="21"/>
          <w:shd w:val="clear" w:color="auto" w:fill="FFFFFF" w:themeFill="background1"/>
        </w:rPr>
        <w:t>当事人：</w:t>
      </w:r>
    </w:p>
    <w:p w14:paraId="05759243" w14:textId="18BC9DDC" w:rsidR="007C5F07" w:rsidRPr="009C03D4" w:rsidRDefault="007C5F07" w:rsidP="009C01C4">
      <w:pPr>
        <w:rPr>
          <w:rFonts w:eastAsiaTheme="minorHAnsi"/>
          <w:szCs w:val="21"/>
          <w:shd w:val="clear" w:color="auto" w:fill="FFFFFF" w:themeFill="background1"/>
        </w:rPr>
      </w:pPr>
      <w:r w:rsidRPr="009C03D4">
        <w:rPr>
          <w:rFonts w:eastAsiaTheme="minorHAnsi" w:hint="eastAsia"/>
          <w:szCs w:val="21"/>
          <w:shd w:val="clear" w:color="auto" w:fill="FFFFFF" w:themeFill="background1"/>
        </w:rPr>
        <w:t>原告：Arizona        被告：Miranda</w:t>
      </w:r>
    </w:p>
    <w:p w14:paraId="14965661" w14:textId="77777777" w:rsidR="007C5F07" w:rsidRPr="009C03D4" w:rsidRDefault="007C5F07" w:rsidP="009C01C4">
      <w:pPr>
        <w:rPr>
          <w:rFonts w:eastAsiaTheme="minorHAnsi" w:hint="eastAsia"/>
          <w:szCs w:val="21"/>
          <w:shd w:val="clear" w:color="auto" w:fill="FFFFFF" w:themeFill="background1"/>
        </w:rPr>
      </w:pPr>
    </w:p>
    <w:p w14:paraId="3C9493D4" w14:textId="444D2408" w:rsidR="009C01C4" w:rsidRPr="009C03D4" w:rsidRDefault="007C5F07" w:rsidP="009C01C4">
      <w:pPr>
        <w:rPr>
          <w:rFonts w:eastAsiaTheme="minorHAnsi"/>
          <w:szCs w:val="21"/>
          <w:shd w:val="clear" w:color="auto" w:fill="FFFFFF" w:themeFill="background1"/>
        </w:rPr>
      </w:pPr>
      <w:r w:rsidRPr="009C03D4">
        <w:rPr>
          <w:rFonts w:eastAsiaTheme="minorHAnsi" w:hint="eastAsia"/>
          <w:szCs w:val="21"/>
          <w:shd w:val="clear" w:color="auto" w:fill="FFFFFF" w:themeFill="background1"/>
        </w:rPr>
        <w:t>争议背景：</w:t>
      </w:r>
    </w:p>
    <w:p w14:paraId="2CDE67A4" w14:textId="77777777" w:rsidR="003001E7" w:rsidRPr="009C03D4" w:rsidRDefault="003001E7" w:rsidP="003001E7">
      <w:pPr>
        <w:rPr>
          <w:rFonts w:eastAsiaTheme="minorHAnsi"/>
          <w:szCs w:val="21"/>
          <w:shd w:val="clear" w:color="auto" w:fill="FFFFFF" w:themeFill="background1"/>
        </w:rPr>
      </w:pPr>
      <w:r w:rsidRPr="009C03D4">
        <w:rPr>
          <w:rFonts w:eastAsiaTheme="minorHAnsi"/>
          <w:szCs w:val="21"/>
          <w:shd w:val="clear" w:color="auto" w:fill="FFFFFF" w:themeFill="background1"/>
        </w:rPr>
        <w:t xml:space="preserve">Case Overview: </w:t>
      </w:r>
    </w:p>
    <w:p w14:paraId="6B3ABA85" w14:textId="77777777" w:rsidR="003001E7" w:rsidRPr="009C03D4" w:rsidRDefault="003001E7" w:rsidP="003001E7">
      <w:pPr>
        <w:rPr>
          <w:rFonts w:eastAsiaTheme="minorHAnsi"/>
          <w:szCs w:val="21"/>
          <w:shd w:val="clear" w:color="auto" w:fill="FFFFFF" w:themeFill="background1"/>
        </w:rPr>
      </w:pPr>
      <w:r w:rsidRPr="009C03D4">
        <w:rPr>
          <w:rFonts w:eastAsiaTheme="minorHAnsi"/>
          <w:szCs w:val="21"/>
          <w:shd w:val="clear" w:color="auto" w:fill="FFFFFF" w:themeFill="background1"/>
        </w:rPr>
        <w:t>1.The case involved the defendant, Ernesto Miranda, who was charged with kidnapping and rape.</w:t>
      </w:r>
    </w:p>
    <w:p w14:paraId="47126625" w14:textId="77777777" w:rsidR="003001E7" w:rsidRPr="009C03D4" w:rsidRDefault="003001E7" w:rsidP="003001E7">
      <w:pPr>
        <w:rPr>
          <w:rFonts w:eastAsiaTheme="minorHAnsi"/>
          <w:szCs w:val="21"/>
          <w:shd w:val="clear" w:color="auto" w:fill="FFFFFF" w:themeFill="background1"/>
        </w:rPr>
      </w:pPr>
      <w:r w:rsidRPr="009C03D4">
        <w:rPr>
          <w:rFonts w:eastAsiaTheme="minorHAnsi"/>
          <w:szCs w:val="21"/>
          <w:shd w:val="clear" w:color="auto" w:fill="FFFFFF" w:themeFill="background1"/>
        </w:rPr>
        <w:t>2.During police questioning, Miranda confessed to the crimes and signed a written statement without being informed of his right to remain silent or to have an attorney present.</w:t>
      </w:r>
    </w:p>
    <w:p w14:paraId="27E56D96" w14:textId="77777777" w:rsidR="003001E7" w:rsidRPr="009C03D4" w:rsidRDefault="003001E7" w:rsidP="003001E7">
      <w:pPr>
        <w:rPr>
          <w:rFonts w:eastAsiaTheme="minorHAnsi"/>
          <w:szCs w:val="21"/>
          <w:shd w:val="clear" w:color="auto" w:fill="FFFFFF" w:themeFill="background1"/>
        </w:rPr>
      </w:pPr>
      <w:r w:rsidRPr="009C03D4">
        <w:rPr>
          <w:rFonts w:eastAsiaTheme="minorHAnsi"/>
          <w:szCs w:val="21"/>
          <w:shd w:val="clear" w:color="auto" w:fill="FFFFFF" w:themeFill="background1"/>
        </w:rPr>
        <w:t>3.His confession was later used against him in court.</w:t>
      </w:r>
    </w:p>
    <w:p w14:paraId="61D98A61" w14:textId="27A9ECA9" w:rsidR="003001E7" w:rsidRPr="009C03D4" w:rsidRDefault="003001E7" w:rsidP="003001E7">
      <w:pPr>
        <w:rPr>
          <w:rFonts w:eastAsiaTheme="minorHAnsi"/>
          <w:szCs w:val="21"/>
          <w:shd w:val="clear" w:color="auto" w:fill="FFFFFF" w:themeFill="background1"/>
        </w:rPr>
      </w:pPr>
      <w:r w:rsidRPr="009C03D4">
        <w:rPr>
          <w:rFonts w:eastAsiaTheme="minorHAnsi"/>
          <w:szCs w:val="21"/>
          <w:shd w:val="clear" w:color="auto" w:fill="FFFFFF" w:themeFill="background1"/>
        </w:rPr>
        <w:t>4.The Supreme Court ruled that if law enforcement fails to inform a suspect of their rights (including the right to remain silent and the right to an attorney) while in custody, any subsequent statements made by the suspect cannot be used as evidence in court.</w:t>
      </w:r>
    </w:p>
    <w:p w14:paraId="62BB875A" w14:textId="77777777" w:rsidR="003001E7" w:rsidRPr="009C03D4" w:rsidRDefault="003001E7" w:rsidP="003001E7">
      <w:pPr>
        <w:rPr>
          <w:rFonts w:eastAsiaTheme="minorHAnsi" w:hint="eastAsia"/>
          <w:szCs w:val="21"/>
          <w:shd w:val="clear" w:color="auto" w:fill="FFFFFF" w:themeFill="background1"/>
        </w:rPr>
      </w:pPr>
    </w:p>
    <w:p w14:paraId="26431548" w14:textId="2A9BD9D4" w:rsidR="00FD602E" w:rsidRPr="009C03D4" w:rsidRDefault="00FD602E" w:rsidP="003001E7">
      <w:pPr>
        <w:rPr>
          <w:rFonts w:eastAsiaTheme="minorHAnsi"/>
          <w:szCs w:val="21"/>
          <w:shd w:val="clear" w:color="auto" w:fill="FFFFFF" w:themeFill="background1"/>
        </w:rPr>
      </w:pPr>
      <w:r w:rsidRPr="009C03D4">
        <w:rPr>
          <w:rFonts w:eastAsiaTheme="minorHAnsi" w:hint="eastAsia"/>
          <w:szCs w:val="21"/>
          <w:shd w:val="clear" w:color="auto" w:fill="FFFFFF" w:themeFill="background1"/>
        </w:rPr>
        <w:t>双方诉讼请求和理由：</w:t>
      </w:r>
    </w:p>
    <w:p w14:paraId="2DD3E991" w14:textId="4F447BFC" w:rsidR="003001E7" w:rsidRPr="009C03D4" w:rsidRDefault="003001E7" w:rsidP="003001E7">
      <w:pPr>
        <w:rPr>
          <w:rFonts w:eastAsiaTheme="minorHAnsi" w:hint="eastAsia"/>
          <w:szCs w:val="21"/>
          <w:shd w:val="clear" w:color="auto" w:fill="FFFFFF" w:themeFill="background1"/>
        </w:rPr>
      </w:pPr>
      <w:r w:rsidRPr="009C03D4">
        <w:rPr>
          <w:rFonts w:eastAsiaTheme="minorHAnsi" w:hint="eastAsia"/>
          <w:szCs w:val="21"/>
          <w:shd w:val="clear" w:color="auto" w:fill="FFFFFF" w:themeFill="background1"/>
        </w:rPr>
        <w:t>被告</w:t>
      </w:r>
    </w:p>
    <w:p w14:paraId="10AAA3C7" w14:textId="35B42B48" w:rsidR="009C01C4" w:rsidRPr="009C03D4" w:rsidRDefault="003001E7" w:rsidP="003001E7">
      <w:pPr>
        <w:rPr>
          <w:rFonts w:eastAsiaTheme="minorHAnsi"/>
          <w:szCs w:val="21"/>
          <w:shd w:val="clear" w:color="auto" w:fill="FFFFFF" w:themeFill="background1"/>
        </w:rPr>
      </w:pPr>
      <w:r w:rsidRPr="009C03D4">
        <w:rPr>
          <w:rFonts w:eastAsiaTheme="minorHAnsi"/>
          <w:szCs w:val="21"/>
          <w:shd w:val="clear" w:color="auto" w:fill="FFFFFF" w:themeFill="background1"/>
        </w:rPr>
        <w:t>Claim: Miranda was arrested at his home and taken to a police station, where he was interrogated for two hours without being informed of his rights. Reason: His signed, written confession was used against him at trial. The Supreme Court of Arizona held that Miranda’s constitutional rights were not violated.</w:t>
      </w:r>
    </w:p>
    <w:p w14:paraId="701BEAB7" w14:textId="77777777" w:rsidR="00FD602E" w:rsidRPr="009C03D4" w:rsidRDefault="00FD602E" w:rsidP="009C01C4">
      <w:pPr>
        <w:rPr>
          <w:rFonts w:eastAsiaTheme="minorHAnsi"/>
          <w:szCs w:val="21"/>
          <w:shd w:val="clear" w:color="auto" w:fill="FFFFFF" w:themeFill="background1"/>
        </w:rPr>
      </w:pPr>
    </w:p>
    <w:p w14:paraId="2D85C430" w14:textId="307146DA" w:rsidR="00FD602E" w:rsidRPr="009C03D4" w:rsidRDefault="008B2E43" w:rsidP="009C01C4">
      <w:pPr>
        <w:rPr>
          <w:rFonts w:eastAsiaTheme="minorHAnsi"/>
          <w:szCs w:val="21"/>
          <w:shd w:val="clear" w:color="auto" w:fill="FFFFFF" w:themeFill="background1"/>
        </w:rPr>
      </w:pPr>
      <w:r w:rsidRPr="009C03D4">
        <w:rPr>
          <w:rFonts w:eastAsiaTheme="minorHAnsi" w:hint="eastAsia"/>
          <w:szCs w:val="21"/>
          <w:shd w:val="clear" w:color="auto" w:fill="FFFFFF" w:themeFill="background1"/>
        </w:rPr>
        <w:t>判决：</w:t>
      </w:r>
    </w:p>
    <w:p w14:paraId="226C8A21" w14:textId="57B5CFBB" w:rsidR="00FD602E" w:rsidRPr="009C03D4" w:rsidRDefault="008B2E43" w:rsidP="009C01C4">
      <w:pPr>
        <w:rPr>
          <w:rFonts w:eastAsiaTheme="minorHAnsi"/>
          <w:szCs w:val="21"/>
          <w:shd w:val="clear" w:color="auto" w:fill="FFFFFF" w:themeFill="background1"/>
        </w:rPr>
      </w:pPr>
      <w:r w:rsidRPr="009C03D4">
        <w:rPr>
          <w:rFonts w:eastAsiaTheme="minorHAnsi"/>
          <w:szCs w:val="21"/>
          <w:shd w:val="clear" w:color="auto" w:fill="FFFFFF" w:themeFill="background1"/>
        </w:rPr>
        <w:t>Miranda v. Arizona is a landmark United States Supreme Court case decided on June 13, 1966. In this case, the Court held that if police do not inform individuals they arrest about certain constitutional rights, including their Fifth Amendment right against self-incrimination, then their confessions may not be used as evidence at trial</w:t>
      </w:r>
      <w:r w:rsidRPr="009C03D4">
        <w:rPr>
          <w:rFonts w:eastAsiaTheme="minorHAnsi" w:hint="eastAsia"/>
          <w:szCs w:val="21"/>
          <w:shd w:val="clear" w:color="auto" w:fill="FFFFFF" w:themeFill="background1"/>
        </w:rPr>
        <w:t>.</w:t>
      </w:r>
    </w:p>
    <w:p w14:paraId="16227FE7" w14:textId="74F8FC84" w:rsidR="008B2E43" w:rsidRPr="009C03D4" w:rsidRDefault="008B2E43" w:rsidP="009C01C4">
      <w:pPr>
        <w:rPr>
          <w:rFonts w:eastAsiaTheme="minorHAnsi"/>
          <w:szCs w:val="21"/>
          <w:shd w:val="clear" w:color="auto" w:fill="FFFFFF" w:themeFill="background1"/>
        </w:rPr>
      </w:pPr>
      <w:r w:rsidRPr="009C03D4">
        <w:rPr>
          <w:rFonts w:eastAsiaTheme="minorHAnsi"/>
          <w:szCs w:val="21"/>
          <w:shd w:val="clear" w:color="auto" w:fill="FFFFFF" w:themeFill="background1"/>
        </w:rPr>
        <w:t>The United States Supreme Court overturned the ruling of the Arizona Supreme Court in the Miranda case, with a vote of 5-4 in favor of Miranda, and sent the case back to Arizona for retrial.</w:t>
      </w:r>
    </w:p>
    <w:p w14:paraId="7D949999" w14:textId="7E7BB954" w:rsidR="00227534" w:rsidRPr="009C03D4" w:rsidRDefault="00227534" w:rsidP="009C01C4">
      <w:pPr>
        <w:rPr>
          <w:rFonts w:eastAsiaTheme="minorHAnsi"/>
          <w:szCs w:val="21"/>
          <w:shd w:val="clear" w:color="auto" w:fill="FFFFFF" w:themeFill="background1"/>
        </w:rPr>
      </w:pPr>
      <w:r w:rsidRPr="009C03D4">
        <w:rPr>
          <w:rFonts w:eastAsiaTheme="minorHAnsi" w:hint="eastAsia"/>
          <w:szCs w:val="21"/>
          <w:shd w:val="clear" w:color="auto" w:fill="FFFFFF" w:themeFill="background1"/>
        </w:rPr>
        <w:t>法律推理：</w:t>
      </w:r>
    </w:p>
    <w:p w14:paraId="19310A94" w14:textId="189FED76" w:rsidR="00227534" w:rsidRPr="009C03D4" w:rsidRDefault="00227534" w:rsidP="009C01C4">
      <w:pPr>
        <w:rPr>
          <w:rFonts w:eastAsiaTheme="minorHAnsi" w:hint="eastAsia"/>
          <w:szCs w:val="21"/>
          <w:shd w:val="clear" w:color="auto" w:fill="FFFFFF" w:themeFill="background1"/>
        </w:rPr>
      </w:pPr>
      <w:r w:rsidRPr="009C03D4">
        <w:rPr>
          <w:rFonts w:eastAsiaTheme="minorHAnsi" w:hint="eastAsia"/>
          <w:noProof/>
          <w:szCs w:val="21"/>
        </w:rPr>
        <mc:AlternateContent>
          <mc:Choice Requires="wps">
            <w:drawing>
              <wp:anchor distT="0" distB="0" distL="114300" distR="114300" simplePos="0" relativeHeight="251661312" behindDoc="0" locked="0" layoutInCell="1" allowOverlap="1" wp14:anchorId="7FA31C1A" wp14:editId="44475270">
                <wp:simplePos x="0" y="0"/>
                <wp:positionH relativeFrom="column">
                  <wp:posOffset>2570583</wp:posOffset>
                </wp:positionH>
                <wp:positionV relativeFrom="paragraph">
                  <wp:posOffset>103557</wp:posOffset>
                </wp:positionV>
                <wp:extent cx="242596" cy="0"/>
                <wp:effectExtent l="0" t="76200" r="24130" b="95250"/>
                <wp:wrapNone/>
                <wp:docPr id="1411637099" name="直接箭头连接符 2"/>
                <wp:cNvGraphicFramePr/>
                <a:graphic xmlns:a="http://schemas.openxmlformats.org/drawingml/2006/main">
                  <a:graphicData uri="http://schemas.microsoft.com/office/word/2010/wordprocessingShape">
                    <wps:wsp>
                      <wps:cNvCnPr/>
                      <wps:spPr>
                        <a:xfrm>
                          <a:off x="0" y="0"/>
                          <a:ext cx="24259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A3A4CC6" id="_x0000_t32" coordsize="21600,21600" o:spt="32" o:oned="t" path="m,l21600,21600e" filled="f">
                <v:path arrowok="t" fillok="f" o:connecttype="none"/>
                <o:lock v:ext="edit" shapetype="t"/>
              </v:shapetype>
              <v:shape id="直接箭头连接符 2" o:spid="_x0000_s1026" type="#_x0000_t32" style="position:absolute;margin-left:202.4pt;margin-top:8.15pt;width:19.1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" strokecolor="black [3200]" strokeweight=".5pt">
                <v:stroke endarrow="block" joinstyle="miter"/>
              </v:shape>
            </w:pict>
          </mc:Fallback>
        </mc:AlternateContent>
      </w:r>
      <w:r w:rsidRPr="009C03D4">
        <w:rPr>
          <w:rFonts w:eastAsiaTheme="minorHAnsi" w:hint="eastAsia"/>
          <w:noProof/>
          <w:szCs w:val="21"/>
        </w:rPr>
        <mc:AlternateContent>
          <mc:Choice Requires="wps">
            <w:drawing>
              <wp:anchor distT="0" distB="0" distL="114300" distR="114300" simplePos="0" relativeHeight="251659264" behindDoc="0" locked="0" layoutInCell="1" allowOverlap="1" wp14:anchorId="78B8893F" wp14:editId="044608C2">
                <wp:simplePos x="0" y="0"/>
                <wp:positionH relativeFrom="column">
                  <wp:posOffset>1217645</wp:posOffset>
                </wp:positionH>
                <wp:positionV relativeFrom="paragraph">
                  <wp:posOffset>111034</wp:posOffset>
                </wp:positionV>
                <wp:extent cx="242596" cy="0"/>
                <wp:effectExtent l="0" t="76200" r="24130" b="95250"/>
                <wp:wrapNone/>
                <wp:docPr id="317455101" name="直接箭头连接符 2"/>
                <wp:cNvGraphicFramePr/>
                <a:graphic xmlns:a="http://schemas.openxmlformats.org/drawingml/2006/main">
                  <a:graphicData uri="http://schemas.microsoft.com/office/word/2010/wordprocessingShape">
                    <wps:wsp>
                      <wps:cNvCnPr/>
                      <wps:spPr>
                        <a:xfrm>
                          <a:off x="0" y="0"/>
                          <a:ext cx="24259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69369A" id="直接箭头连接符 2" o:spid="_x0000_s1026" type="#_x0000_t32" style="position:absolute;margin-left:95.9pt;margin-top:8.75pt;width:19.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" strokecolor="black [3200]" strokeweight=".5pt">
                <v:stroke endarrow="block" joinstyle="miter"/>
              </v:shape>
            </w:pict>
          </mc:Fallback>
        </mc:AlternateContent>
      </w:r>
      <w:r w:rsidRPr="009C03D4">
        <w:rPr>
          <w:rFonts w:eastAsiaTheme="minorHAnsi" w:hint="eastAsia"/>
          <w:szCs w:val="21"/>
          <w:shd w:val="clear" w:color="auto" w:fill="FFFFFF" w:themeFill="background1"/>
        </w:rPr>
        <w:t>Deductive reasoning     General principles     Specific circumstances</w:t>
      </w:r>
    </w:p>
    <w:p w14:paraId="2F8461DE" w14:textId="42CBB877" w:rsidR="00FD602E" w:rsidRPr="009C03D4" w:rsidRDefault="00227534" w:rsidP="009C01C4">
      <w:pPr>
        <w:rPr>
          <w:rFonts w:eastAsiaTheme="minorHAnsi" w:hint="eastAsia"/>
          <w:szCs w:val="21"/>
          <w:shd w:val="clear" w:color="auto" w:fill="FFFFFF" w:themeFill="background1"/>
        </w:rPr>
      </w:pPr>
      <w:r w:rsidRPr="009C03D4">
        <w:rPr>
          <w:rFonts w:eastAsiaTheme="minorHAnsi" w:hint="eastAsia"/>
          <w:noProof/>
          <w:szCs w:val="21"/>
        </w:rPr>
        <w:lastRenderedPageBreak/>
        <mc:AlternateContent>
          <mc:Choice Requires="wps">
            <w:drawing>
              <wp:anchor distT="0" distB="0" distL="114300" distR="114300" simplePos="0" relativeHeight="251663360" behindDoc="0" locked="0" layoutInCell="1" allowOverlap="1" wp14:anchorId="0FFCB621" wp14:editId="54A9E1D9">
                <wp:simplePos x="0" y="0"/>
                <wp:positionH relativeFrom="column">
                  <wp:posOffset>3909449</wp:posOffset>
                </wp:positionH>
                <wp:positionV relativeFrom="paragraph">
                  <wp:posOffset>102300</wp:posOffset>
                </wp:positionV>
                <wp:extent cx="242596" cy="0"/>
                <wp:effectExtent l="0" t="76200" r="24130" b="95250"/>
                <wp:wrapNone/>
                <wp:docPr id="1691213731" name="直接箭头连接符 2"/>
                <wp:cNvGraphicFramePr/>
                <a:graphic xmlns:a="http://schemas.openxmlformats.org/drawingml/2006/main">
                  <a:graphicData uri="http://schemas.microsoft.com/office/word/2010/wordprocessingShape">
                    <wps:wsp>
                      <wps:cNvCnPr/>
                      <wps:spPr>
                        <a:xfrm>
                          <a:off x="0" y="0"/>
                          <a:ext cx="24259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897F6B" id="直接箭头连接符 2" o:spid="_x0000_s1026" type="#_x0000_t32" style="position:absolute;margin-left:307.85pt;margin-top:8.05pt;width:19.1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" strokecolor="black [3200]" strokeweight=".5pt">
                <v:stroke endarrow="block" joinstyle="miter"/>
              </v:shape>
            </w:pict>
          </mc:Fallback>
        </mc:AlternateContent>
      </w:r>
      <w:r w:rsidRPr="009C03D4">
        <w:rPr>
          <w:rFonts w:eastAsiaTheme="minorHAnsi"/>
          <w:szCs w:val="21"/>
          <w:shd w:val="clear" w:color="auto" w:fill="FFFFFF" w:themeFill="background1"/>
        </w:rPr>
        <w:t>The rights stipulated in the Fifth Amendment to the Constitution</w:t>
      </w:r>
      <w:r w:rsidRPr="009C03D4">
        <w:rPr>
          <w:rFonts w:eastAsiaTheme="minorHAnsi" w:hint="eastAsia"/>
          <w:szCs w:val="21"/>
          <w:shd w:val="clear" w:color="auto" w:fill="FFFFFF" w:themeFill="background1"/>
        </w:rPr>
        <w:t xml:space="preserve">    </w:t>
      </w:r>
      <w:r w:rsidRPr="009C03D4">
        <w:rPr>
          <w:rFonts w:eastAsiaTheme="minorHAnsi"/>
          <w:szCs w:val="21"/>
          <w:shd w:val="clear" w:color="auto" w:fill="FFFFFF" w:themeFill="background1"/>
        </w:rPr>
        <w:t xml:space="preserve">Rights of detained suspects in </w:t>
      </w:r>
      <w:r w:rsidRPr="009C03D4">
        <w:rPr>
          <w:rFonts w:eastAsiaTheme="minorHAnsi"/>
          <w:szCs w:val="21"/>
          <w:shd w:val="clear" w:color="auto" w:fill="FFFFFF" w:themeFill="background1"/>
        </w:rPr>
        <w:t>cases.</w:t>
      </w:r>
    </w:p>
    <w:p w14:paraId="77581B7A" w14:textId="3E18F34B" w:rsidR="009C01C4" w:rsidRPr="009C03D4" w:rsidRDefault="00227534" w:rsidP="009C01C4">
      <w:pPr>
        <w:rPr>
          <w:rFonts w:eastAsiaTheme="minorHAnsi" w:hint="eastAsia"/>
          <w:szCs w:val="21"/>
          <w:shd w:val="clear" w:color="auto" w:fill="FFFFFF" w:themeFill="background1"/>
        </w:rPr>
      </w:pPr>
      <w:r w:rsidRPr="009C03D4">
        <w:rPr>
          <w:rFonts w:eastAsiaTheme="minorHAnsi"/>
          <w:szCs w:val="21"/>
          <w:shd w:val="clear" w:color="auto" w:fill="FFFFFF" w:themeFill="background1"/>
        </w:rPr>
        <w:t xml:space="preserve">The right to counter </w:t>
      </w:r>
      <w:r w:rsidRPr="009C03D4">
        <w:rPr>
          <w:rFonts w:eastAsiaTheme="minorHAnsi"/>
          <w:szCs w:val="21"/>
          <w:shd w:val="clear" w:color="auto" w:fill="FFFFFF" w:themeFill="background1"/>
        </w:rPr>
        <w:t>self-incrimination</w:t>
      </w:r>
      <w:r w:rsidRPr="009C03D4">
        <w:rPr>
          <w:rFonts w:eastAsiaTheme="minorHAnsi"/>
          <w:szCs w:val="21"/>
          <w:shd w:val="clear" w:color="auto" w:fill="FFFFFF" w:themeFill="background1"/>
        </w:rPr>
        <w:t xml:space="preserve"> applies not only to trials, but also to cases where suspects are detained by the police</w:t>
      </w:r>
      <w:r w:rsidRPr="009C03D4">
        <w:rPr>
          <w:rFonts w:eastAsiaTheme="minorHAnsi" w:hint="eastAsia"/>
          <w:szCs w:val="21"/>
          <w:shd w:val="clear" w:color="auto" w:fill="FFFFFF" w:themeFill="background1"/>
        </w:rPr>
        <w:t>.</w:t>
      </w:r>
    </w:p>
    <w:p w14:paraId="7C840CA1" w14:textId="74D3B599" w:rsidR="00282E6A" w:rsidRPr="009C03D4" w:rsidRDefault="009C01C4" w:rsidP="009C01C4">
      <w:pPr>
        <w:rPr>
          <w:rFonts w:eastAsiaTheme="minorHAnsi"/>
          <w:szCs w:val="21"/>
          <w:shd w:val="clear" w:color="auto" w:fill="FFFFFF" w:themeFill="background1"/>
        </w:rPr>
      </w:pPr>
      <w:r w:rsidRPr="009C03D4">
        <w:rPr>
          <w:rFonts w:eastAsiaTheme="minorHAnsi" w:hint="eastAsia"/>
          <w:szCs w:val="21"/>
          <w:shd w:val="clear" w:color="auto" w:fill="FFFFFF" w:themeFill="background1"/>
        </w:rPr>
        <w:t>法律依据：</w:t>
      </w:r>
    </w:p>
    <w:p w14:paraId="5AE3A9C6" w14:textId="77777777" w:rsidR="0095126E" w:rsidRPr="009C03D4" w:rsidRDefault="0095126E" w:rsidP="0095126E">
      <w:pPr>
        <w:rPr>
          <w:rFonts w:eastAsiaTheme="minorHAnsi"/>
          <w:szCs w:val="21"/>
          <w:shd w:val="clear" w:color="auto" w:fill="FFFFFF" w:themeFill="background1"/>
        </w:rPr>
      </w:pPr>
      <w:r w:rsidRPr="009C03D4">
        <w:rPr>
          <w:rFonts w:eastAsiaTheme="minorHAnsi"/>
          <w:szCs w:val="21"/>
          <w:shd w:val="clear" w:color="auto" w:fill="FFFFFF" w:themeFill="background1"/>
        </w:rPr>
        <w:t>Fifth Amendment: According to the Fifth Amendment, any statements made by a suspect during custody can only be used as evidence in a criminal trial if the suspect was informed of their right to remain silent and their right to consult with an attorney before questioning. Additionally, these rights must be voluntarily and knowingly waived by the suspect.</w:t>
      </w:r>
    </w:p>
    <w:p w14:paraId="346B2A87" w14:textId="6AF4FDE0" w:rsidR="0095126E" w:rsidRPr="009C03D4" w:rsidRDefault="0095126E" w:rsidP="0095126E">
      <w:pPr>
        <w:rPr>
          <w:rFonts w:eastAsiaTheme="minorHAnsi" w:hint="eastAsia"/>
          <w:szCs w:val="21"/>
          <w:shd w:val="clear" w:color="auto" w:fill="FFFFFF" w:themeFill="background1"/>
        </w:rPr>
      </w:pPr>
      <w:r w:rsidRPr="009C03D4">
        <w:rPr>
          <w:rFonts w:eastAsiaTheme="minorHAnsi"/>
          <w:szCs w:val="21"/>
          <w:shd w:val="clear" w:color="auto" w:fill="FFFFFF" w:themeFill="background1"/>
        </w:rPr>
        <w:t>Sixth Amendment: The Sixth Amendment guarantees several rights for defendants in criminal trials, including the right to know the specific charges against them, the right to a speedy, public, and fair trial, and the right to communicate with an attorney.</w:t>
      </w:r>
    </w:p>
    <w:p w14:paraId="6E7BB37F" w14:textId="64607813" w:rsidR="009C01C4" w:rsidRPr="009C03D4" w:rsidRDefault="009C01C4" w:rsidP="009C01C4">
      <w:pPr>
        <w:rPr>
          <w:rFonts w:eastAsiaTheme="minorHAnsi" w:hint="eastAsia"/>
          <w:szCs w:val="21"/>
          <w:shd w:val="clear" w:color="auto" w:fill="FFFFFF" w:themeFill="background1"/>
        </w:rPr>
      </w:pPr>
      <w:r w:rsidRPr="009C03D4">
        <w:rPr>
          <w:rFonts w:eastAsiaTheme="minorHAnsi" w:hint="eastAsia"/>
          <w:szCs w:val="21"/>
          <w:shd w:val="clear" w:color="auto" w:fill="FFFFFF" w:themeFill="background1"/>
        </w:rPr>
        <w:t>程序问题：</w:t>
      </w:r>
    </w:p>
    <w:p w14:paraId="3AD71D42" w14:textId="77777777" w:rsidR="0095126E" w:rsidRPr="009C03D4" w:rsidRDefault="0095126E" w:rsidP="0095126E">
      <w:pPr>
        <w:rPr>
          <w:rFonts w:eastAsiaTheme="minorHAnsi"/>
          <w:szCs w:val="21"/>
          <w:shd w:val="clear" w:color="auto" w:fill="FFFFFF" w:themeFill="background1"/>
        </w:rPr>
      </w:pPr>
      <w:r w:rsidRPr="009C03D4">
        <w:rPr>
          <w:rFonts w:eastAsiaTheme="minorHAnsi"/>
          <w:szCs w:val="21"/>
          <w:shd w:val="clear" w:color="auto" w:fill="FFFFFF" w:themeFill="background1"/>
        </w:rPr>
        <w:t>Notice of Rights: The court clarified that suspects must be informed of their right to remain silent and their right to consult with an attorney before custodial interrogations begin. This notice ensures that suspects are aware of their rights during questioning.</w:t>
      </w:r>
    </w:p>
    <w:p w14:paraId="698A5127" w14:textId="77777777" w:rsidR="0095126E" w:rsidRPr="009C03D4" w:rsidRDefault="0095126E" w:rsidP="0095126E">
      <w:pPr>
        <w:rPr>
          <w:rFonts w:eastAsiaTheme="minorHAnsi"/>
          <w:szCs w:val="21"/>
          <w:shd w:val="clear" w:color="auto" w:fill="FFFFFF" w:themeFill="background1"/>
        </w:rPr>
      </w:pPr>
      <w:r w:rsidRPr="009C03D4">
        <w:rPr>
          <w:rFonts w:eastAsiaTheme="minorHAnsi"/>
          <w:szCs w:val="21"/>
          <w:shd w:val="clear" w:color="auto" w:fill="FFFFFF" w:themeFill="background1"/>
        </w:rPr>
        <w:t>Voluntary Waiver: The court emphasized that any statements made by a suspect during custody can only be used as evidence if the suspect voluntarily and knowingly waived these rights. If a suspect chooses to waive these rights, their statements may be admissible in a criminal trial.</w:t>
      </w:r>
    </w:p>
    <w:p w14:paraId="53D3E767" w14:textId="77777777" w:rsidR="009C01C4" w:rsidRPr="009C03D4" w:rsidRDefault="009C01C4" w:rsidP="003001E7">
      <w:pPr>
        <w:rPr>
          <w:rFonts w:eastAsiaTheme="minorHAnsi" w:hint="eastAsia"/>
          <w:szCs w:val="21"/>
          <w:shd w:val="clear" w:color="auto" w:fill="FFFFFF" w:themeFill="background1"/>
        </w:rPr>
      </w:pPr>
    </w:p>
    <w:p w14:paraId="4474AA42" w14:textId="27CD27D2" w:rsidR="009C01C4" w:rsidRPr="009C03D4" w:rsidRDefault="003001E7" w:rsidP="003001E7">
      <w:pPr>
        <w:rPr>
          <w:rFonts w:eastAsiaTheme="minorHAnsi" w:hint="eastAsia"/>
          <w:szCs w:val="21"/>
          <w:shd w:val="clear" w:color="auto" w:fill="FFFFFF" w:themeFill="background1"/>
        </w:rPr>
      </w:pPr>
      <w:r w:rsidRPr="009C03D4">
        <w:rPr>
          <w:rFonts w:eastAsiaTheme="minorHAnsi" w:hint="eastAsia"/>
          <w:szCs w:val="21"/>
          <w:shd w:val="clear" w:color="auto" w:fill="FFFFFF" w:themeFill="background1"/>
        </w:rPr>
        <w:t>二．</w:t>
      </w:r>
    </w:p>
    <w:p w14:paraId="16E49E77" w14:textId="24EC963E" w:rsidR="003B3E89" w:rsidRPr="009C03D4" w:rsidRDefault="00DC6DC0" w:rsidP="003B3E89">
      <w:pPr>
        <w:pStyle w:val="p1"/>
        <w:widowControl/>
        <w:rPr>
          <w:rFonts w:asciiTheme="minorHAnsi" w:eastAsiaTheme="minorHAnsi" w:hAnsiTheme="minorHAnsi"/>
          <w:sz w:val="21"/>
          <w:szCs w:val="21"/>
          <w:shd w:val="clear" w:color="auto" w:fill="FFFFFF" w:themeFill="background1"/>
        </w:rPr>
      </w:pPr>
      <w:r w:rsidRPr="009C03D4">
        <w:rPr>
          <w:rStyle w:val="s1"/>
          <w:rFonts w:asciiTheme="minorHAnsi" w:eastAsiaTheme="minorHAnsi" w:hAnsiTheme="minorHAnsi" w:cs="宋体" w:hint="eastAsia"/>
          <w:sz w:val="21"/>
          <w:szCs w:val="21"/>
          <w:shd w:val="clear" w:color="auto" w:fill="FFFFFF" w:themeFill="background1"/>
        </w:rPr>
        <w:t>（1）</w:t>
      </w:r>
      <w:r w:rsidR="003B3E89" w:rsidRPr="009C03D4">
        <w:rPr>
          <w:rStyle w:val="s1"/>
          <w:rFonts w:asciiTheme="minorHAnsi" w:eastAsiaTheme="minorHAnsi" w:hAnsiTheme="minorHAnsi" w:cs="Times New Roman"/>
          <w:sz w:val="21"/>
          <w:szCs w:val="21"/>
          <w:shd w:val="clear" w:color="auto" w:fill="FFFFFF" w:themeFill="background1"/>
        </w:rPr>
        <w:t>Fact：</w:t>
      </w:r>
    </w:p>
    <w:p w14:paraId="5B9FF7B2" w14:textId="77777777" w:rsidR="003B3E89" w:rsidRPr="009C03D4" w:rsidRDefault="003B3E89" w:rsidP="003B3E89">
      <w:pPr>
        <w:pStyle w:val="p1"/>
        <w:widowControl/>
        <w:rPr>
          <w:rFonts w:asciiTheme="minorHAnsi" w:eastAsiaTheme="minorHAnsi" w:hAnsiTheme="minorHAnsi"/>
          <w:sz w:val="21"/>
          <w:szCs w:val="21"/>
          <w:shd w:val="clear" w:color="auto" w:fill="FFFFFF" w:themeFill="background1"/>
        </w:rPr>
      </w:pPr>
      <w:r w:rsidRPr="009C03D4">
        <w:rPr>
          <w:rStyle w:val="s1"/>
          <w:rFonts w:asciiTheme="minorHAnsi" w:eastAsiaTheme="minorHAnsi" w:hAnsiTheme="minorHAnsi" w:cs="Times New Roman"/>
          <w:sz w:val="21"/>
          <w:szCs w:val="21"/>
          <w:shd w:val="clear" w:color="auto" w:fill="FFFFFF" w:themeFill="background1"/>
        </w:rPr>
        <w:t>1.Ernesto Miranda was convicted of rape.</w:t>
      </w:r>
    </w:p>
    <w:p w14:paraId="22EE57E9" w14:textId="77777777" w:rsidR="003B3E89" w:rsidRPr="009C03D4" w:rsidRDefault="003B3E89" w:rsidP="003B3E89">
      <w:pPr>
        <w:pStyle w:val="p1"/>
        <w:widowControl/>
        <w:rPr>
          <w:rFonts w:asciiTheme="minorHAnsi" w:eastAsiaTheme="minorHAnsi" w:hAnsiTheme="minorHAnsi"/>
          <w:sz w:val="21"/>
          <w:szCs w:val="21"/>
          <w:shd w:val="clear" w:color="auto" w:fill="FFFFFF" w:themeFill="background1"/>
        </w:rPr>
      </w:pPr>
      <w:r w:rsidRPr="009C03D4">
        <w:rPr>
          <w:rStyle w:val="s1"/>
          <w:rFonts w:asciiTheme="minorHAnsi" w:eastAsiaTheme="minorHAnsi" w:hAnsiTheme="minorHAnsi" w:cs="Times New Roman"/>
          <w:sz w:val="21"/>
          <w:szCs w:val="21"/>
          <w:shd w:val="clear" w:color="auto" w:fill="FFFFFF" w:themeFill="background1"/>
        </w:rPr>
        <w:t>2.Alvin Moore appealed the case to the Arizona Supreme Court, claiming that Miranda's confession was not entirely voluntary.</w:t>
      </w:r>
    </w:p>
    <w:p w14:paraId="2CAF3CDE" w14:textId="250CDFBD" w:rsidR="003B3E89" w:rsidRPr="009C03D4" w:rsidRDefault="003B3E89" w:rsidP="003B3E89">
      <w:pPr>
        <w:widowControl/>
        <w:jc w:val="left"/>
        <w:rPr>
          <w:rFonts w:eastAsiaTheme="minorHAnsi" w:cs="Times New Roman"/>
          <w:szCs w:val="21"/>
          <w:shd w:val="clear" w:color="auto" w:fill="FFFFFF" w:themeFill="background1"/>
        </w:rPr>
      </w:pPr>
      <w:r w:rsidRPr="009C03D4">
        <w:rPr>
          <w:rFonts w:eastAsiaTheme="minorHAnsi" w:cs="Times New Roman"/>
          <w:szCs w:val="21"/>
          <w:shd w:val="clear" w:color="auto" w:fill="FFFFFF" w:themeFill="background1"/>
        </w:rPr>
        <w:t xml:space="preserve">3.The Arizona Supreme Court upheld the verdict that his rights had not been </w:t>
      </w:r>
      <w:r w:rsidR="00DC6DC0" w:rsidRPr="009C03D4">
        <w:rPr>
          <w:rFonts w:eastAsiaTheme="minorHAnsi" w:cs="Times New Roman"/>
          <w:szCs w:val="21"/>
          <w:shd w:val="clear" w:color="auto" w:fill="FFFFFF" w:themeFill="background1"/>
        </w:rPr>
        <w:t xml:space="preserve">violated </w:t>
      </w:r>
      <w:r w:rsidR="00DC6DC0" w:rsidRPr="009C03D4">
        <w:rPr>
          <w:rFonts w:eastAsiaTheme="minorHAnsi" w:cs="Times New Roman"/>
          <w:color w:val="222222"/>
          <w:kern w:val="0"/>
          <w:szCs w:val="21"/>
          <w:shd w:val="clear" w:color="auto" w:fill="FFFFFF" w:themeFill="background1"/>
          <w:lang w:bidi="ar"/>
        </w:rPr>
        <w:t>because</w:t>
      </w:r>
      <w:r w:rsidRPr="009C03D4">
        <w:rPr>
          <w:rFonts w:eastAsiaTheme="minorHAnsi" w:cs="Times New Roman"/>
          <w:color w:val="222222"/>
          <w:kern w:val="0"/>
          <w:szCs w:val="21"/>
          <w:shd w:val="clear" w:color="auto" w:fill="FFFFFF" w:themeFill="background1"/>
          <w:lang w:bidi="ar"/>
        </w:rPr>
        <w:t xml:space="preserve"> he did not specifically request counsel.</w:t>
      </w:r>
    </w:p>
    <w:p w14:paraId="59BEE577" w14:textId="77777777" w:rsidR="003B3E89" w:rsidRPr="009C03D4" w:rsidRDefault="003B3E89" w:rsidP="003B3E89">
      <w:pPr>
        <w:pStyle w:val="p2"/>
        <w:widowControl/>
        <w:rPr>
          <w:rFonts w:asciiTheme="minorHAnsi" w:eastAsiaTheme="minorHAnsi" w:hAnsiTheme="minorHAnsi"/>
          <w:sz w:val="21"/>
          <w:szCs w:val="21"/>
          <w:shd w:val="clear" w:color="auto" w:fill="FFFFFF" w:themeFill="background1"/>
        </w:rPr>
      </w:pPr>
      <w:r w:rsidRPr="009C03D4">
        <w:rPr>
          <w:rFonts w:asciiTheme="minorHAnsi" w:eastAsiaTheme="minorHAnsi" w:hAnsiTheme="minorHAnsi"/>
          <w:sz w:val="21"/>
          <w:szCs w:val="21"/>
          <w:shd w:val="clear" w:color="auto" w:fill="FFFFFF" w:themeFill="background1"/>
        </w:rPr>
        <w:t xml:space="preserve">4.Appealed to the United States Supreme Court. </w:t>
      </w:r>
    </w:p>
    <w:p w14:paraId="0B75F7C0" w14:textId="77777777" w:rsidR="003B3E89" w:rsidRPr="009C03D4" w:rsidRDefault="003B3E89" w:rsidP="003B3E89">
      <w:pPr>
        <w:pStyle w:val="p2"/>
        <w:widowControl/>
        <w:rPr>
          <w:rFonts w:asciiTheme="minorHAnsi" w:eastAsiaTheme="minorHAnsi" w:hAnsiTheme="minorHAnsi"/>
          <w:sz w:val="21"/>
          <w:szCs w:val="21"/>
          <w:shd w:val="clear" w:color="auto" w:fill="FFFFFF" w:themeFill="background1"/>
        </w:rPr>
      </w:pPr>
    </w:p>
    <w:p w14:paraId="47AE3B58" w14:textId="10CDC7F9" w:rsidR="003B3E89" w:rsidRPr="009C03D4" w:rsidRDefault="00DC6DC0" w:rsidP="003B3E89">
      <w:pPr>
        <w:pStyle w:val="p1"/>
        <w:widowControl/>
        <w:rPr>
          <w:rFonts w:asciiTheme="minorHAnsi" w:eastAsiaTheme="minorHAnsi" w:hAnsiTheme="minorHAnsi"/>
          <w:sz w:val="21"/>
          <w:szCs w:val="21"/>
          <w:shd w:val="clear" w:color="auto" w:fill="FFFFFF" w:themeFill="background1"/>
        </w:rPr>
      </w:pPr>
      <w:r w:rsidRPr="009C03D4">
        <w:rPr>
          <w:rStyle w:val="s1"/>
          <w:rFonts w:asciiTheme="minorHAnsi" w:eastAsiaTheme="minorHAnsi" w:hAnsiTheme="minorHAnsi" w:cs="Times New Roman" w:hint="eastAsia"/>
          <w:sz w:val="21"/>
          <w:szCs w:val="21"/>
          <w:shd w:val="clear" w:color="auto" w:fill="FFFFFF" w:themeFill="background1"/>
        </w:rPr>
        <w:t>（2）</w:t>
      </w:r>
      <w:r w:rsidR="003B3E89" w:rsidRPr="009C03D4">
        <w:rPr>
          <w:rStyle w:val="s1"/>
          <w:rFonts w:asciiTheme="minorHAnsi" w:eastAsiaTheme="minorHAnsi" w:hAnsiTheme="minorHAnsi" w:cs="Times New Roman"/>
          <w:sz w:val="21"/>
          <w:szCs w:val="21"/>
          <w:shd w:val="clear" w:color="auto" w:fill="FFFFFF" w:themeFill="background1"/>
        </w:rPr>
        <w:t>Issue：</w:t>
      </w:r>
    </w:p>
    <w:p w14:paraId="02277A76" w14:textId="77777777" w:rsidR="003B3E89" w:rsidRPr="009C03D4" w:rsidRDefault="003B3E89" w:rsidP="003B3E89">
      <w:pPr>
        <w:pStyle w:val="p1"/>
        <w:widowControl/>
        <w:rPr>
          <w:rFonts w:asciiTheme="minorHAnsi" w:eastAsiaTheme="minorHAnsi" w:hAnsiTheme="minorHAnsi"/>
          <w:sz w:val="21"/>
          <w:szCs w:val="21"/>
          <w:shd w:val="clear" w:color="auto" w:fill="FFFFFF" w:themeFill="background1"/>
        </w:rPr>
      </w:pPr>
      <w:r w:rsidRPr="009C03D4">
        <w:rPr>
          <w:rFonts w:asciiTheme="minorHAnsi" w:eastAsiaTheme="minorHAnsi" w:hAnsiTheme="minorHAnsi"/>
          <w:sz w:val="21"/>
          <w:szCs w:val="21"/>
          <w:shd w:val="clear" w:color="auto" w:fill="FFFFFF" w:themeFill="background1"/>
        </w:rPr>
        <w:t>Whether police are required to inform suspects of their rights before they are arrested and interrogated, these rights include the right to remain silent and the right to legal aid.</w:t>
      </w:r>
    </w:p>
    <w:p w14:paraId="3F91AC07" w14:textId="77777777" w:rsidR="003B3E89" w:rsidRPr="009C03D4" w:rsidRDefault="003B3E89" w:rsidP="003B3E89">
      <w:pPr>
        <w:pStyle w:val="p2"/>
        <w:widowControl/>
        <w:rPr>
          <w:rFonts w:asciiTheme="minorHAnsi" w:eastAsiaTheme="minorHAnsi" w:hAnsiTheme="minorHAnsi"/>
          <w:sz w:val="21"/>
          <w:szCs w:val="21"/>
          <w:shd w:val="clear" w:color="auto" w:fill="FFFFFF" w:themeFill="background1"/>
        </w:rPr>
      </w:pPr>
    </w:p>
    <w:p w14:paraId="528153FF" w14:textId="615BBD9E" w:rsidR="003B3E89" w:rsidRPr="009C03D4" w:rsidRDefault="00DC6DC0" w:rsidP="003B3E89">
      <w:pPr>
        <w:rPr>
          <w:rFonts w:eastAsiaTheme="minorHAnsi" w:cs="Times New Roman"/>
          <w:szCs w:val="21"/>
          <w:shd w:val="clear" w:color="auto" w:fill="FFFFFF" w:themeFill="background1"/>
        </w:rPr>
      </w:pPr>
      <w:r w:rsidRPr="009C03D4">
        <w:rPr>
          <w:rFonts w:eastAsiaTheme="minorHAnsi" w:cs="Times New Roman" w:hint="eastAsia"/>
          <w:szCs w:val="21"/>
          <w:shd w:val="clear" w:color="auto" w:fill="FFFFFF" w:themeFill="background1"/>
        </w:rPr>
        <w:t>（3）</w:t>
      </w:r>
      <w:r w:rsidR="003B3E89" w:rsidRPr="009C03D4">
        <w:rPr>
          <w:rFonts w:eastAsiaTheme="minorHAnsi" w:cs="Times New Roman"/>
          <w:szCs w:val="21"/>
          <w:shd w:val="clear" w:color="auto" w:fill="FFFFFF" w:themeFill="background1"/>
        </w:rPr>
        <w:t>Reason and conclusion</w:t>
      </w:r>
    </w:p>
    <w:p w14:paraId="46804B1B" w14:textId="30760C24" w:rsidR="003B3E89" w:rsidRPr="009C03D4" w:rsidRDefault="003B3E89" w:rsidP="003B3E89">
      <w:pPr>
        <w:rPr>
          <w:rFonts w:eastAsiaTheme="minorHAnsi" w:cs="Times New Roman"/>
          <w:szCs w:val="21"/>
          <w:shd w:val="clear" w:color="auto" w:fill="FFFFFF" w:themeFill="background1"/>
        </w:rPr>
      </w:pPr>
      <w:r w:rsidRPr="009C03D4">
        <w:rPr>
          <w:rFonts w:eastAsiaTheme="minorHAnsi" w:cs="Times New Roman"/>
          <w:szCs w:val="21"/>
          <w:shd w:val="clear" w:color="auto" w:fill="FFFFFF" w:themeFill="background1"/>
        </w:rPr>
        <w:t xml:space="preserve">The police interrogation of the defendant violated the Fifth Amendment. The court held that before the trial was informed, the accused must be informed that he had the right to remain silent. Anything he says can be used against him in court. The accused must be informed of his right to counsel. After giving these warnings, the defendant may waive these </w:t>
      </w:r>
      <w:r w:rsidR="00DC6DC0" w:rsidRPr="009C03D4">
        <w:rPr>
          <w:rFonts w:eastAsiaTheme="minorHAnsi" w:cs="Times New Roman"/>
          <w:szCs w:val="21"/>
          <w:shd w:val="clear" w:color="auto" w:fill="FFFFFF" w:themeFill="background1"/>
        </w:rPr>
        <w:t>rights.</w:t>
      </w:r>
      <w:r w:rsidR="00DC6DC0" w:rsidRPr="009C03D4">
        <w:rPr>
          <w:rStyle w:val="s1"/>
          <w:rFonts w:asciiTheme="minorHAnsi" w:eastAsiaTheme="minorHAnsi" w:hAnsiTheme="minorHAnsi" w:cs="Times New Roman"/>
          <w:sz w:val="21"/>
          <w:szCs w:val="21"/>
          <w:shd w:val="clear" w:color="auto" w:fill="FFFFFF" w:themeFill="background1"/>
        </w:rPr>
        <w:t xml:space="preserve"> Therefore</w:t>
      </w:r>
      <w:r w:rsidRPr="009C03D4">
        <w:rPr>
          <w:rStyle w:val="s1"/>
          <w:rFonts w:asciiTheme="minorHAnsi" w:eastAsiaTheme="minorHAnsi" w:hAnsiTheme="minorHAnsi" w:cs="Times New Roman"/>
          <w:sz w:val="21"/>
          <w:szCs w:val="21"/>
          <w:shd w:val="clear" w:color="auto" w:fill="FFFFFF" w:themeFill="background1"/>
        </w:rPr>
        <w:t>, any statements made by a suspect are considered invalid unless the suspect is fully aware of their rights and voluntarily chooses to waive them, in accordance with the Self-Incrimination Clause of the Fifth Amendment and the Right to Counsel Clause of the Sixth Amendment of the United States Constitution.</w:t>
      </w:r>
    </w:p>
    <w:p w14:paraId="42CE331C" w14:textId="77777777" w:rsidR="003B3E89" w:rsidRPr="009C03D4" w:rsidRDefault="003B3E89" w:rsidP="003B3E89">
      <w:pPr>
        <w:widowControl/>
        <w:jc w:val="left"/>
        <w:rPr>
          <w:rFonts w:eastAsiaTheme="minorHAnsi" w:cs="Times New Roman"/>
          <w:szCs w:val="21"/>
          <w:shd w:val="clear" w:color="auto" w:fill="FFFFFF" w:themeFill="background1"/>
        </w:rPr>
      </w:pPr>
    </w:p>
    <w:p w14:paraId="7B8B8D03" w14:textId="1276C004" w:rsidR="003B3E89" w:rsidRPr="009C03D4" w:rsidRDefault="00DC6DC0" w:rsidP="003B3E89">
      <w:pPr>
        <w:widowControl/>
        <w:jc w:val="left"/>
        <w:rPr>
          <w:rFonts w:eastAsiaTheme="minorHAnsi" w:cs="Times New Roman"/>
          <w:szCs w:val="21"/>
          <w:shd w:val="clear" w:color="auto" w:fill="FFFFFF" w:themeFill="background1"/>
        </w:rPr>
      </w:pPr>
      <w:r w:rsidRPr="009C03D4">
        <w:rPr>
          <w:rFonts w:eastAsiaTheme="minorHAnsi" w:cs="Times New Roman" w:hint="eastAsia"/>
          <w:szCs w:val="21"/>
          <w:shd w:val="clear" w:color="auto" w:fill="FFFFFF" w:themeFill="background1"/>
        </w:rPr>
        <w:t>（4）</w:t>
      </w:r>
      <w:r w:rsidR="003B3E89" w:rsidRPr="009C03D4">
        <w:rPr>
          <w:rFonts w:eastAsiaTheme="minorHAnsi" w:cs="Times New Roman"/>
          <w:szCs w:val="21"/>
          <w:shd w:val="clear" w:color="auto" w:fill="FFFFFF" w:themeFill="background1"/>
        </w:rPr>
        <w:t>Relevant rules of law</w:t>
      </w:r>
    </w:p>
    <w:p w14:paraId="33ADB61C" w14:textId="77777777" w:rsidR="003B3E89" w:rsidRPr="009C03D4" w:rsidRDefault="003B3E89" w:rsidP="003B3E89">
      <w:pPr>
        <w:widowControl/>
        <w:jc w:val="left"/>
        <w:rPr>
          <w:rFonts w:eastAsiaTheme="minorHAnsi" w:cs="Times New Roman"/>
          <w:szCs w:val="21"/>
          <w:shd w:val="clear" w:color="auto" w:fill="FFFFFF" w:themeFill="background1"/>
        </w:rPr>
      </w:pPr>
      <w:r w:rsidRPr="009C03D4">
        <w:rPr>
          <w:rFonts w:eastAsiaTheme="minorHAnsi" w:cs="Times New Roman"/>
          <w:szCs w:val="21"/>
          <w:shd w:val="clear" w:color="auto" w:fill="FFFFFF" w:themeFill="background1"/>
        </w:rPr>
        <w:t>The relevant legal articles are from the Fifth and the Sixth Amendment Act.</w:t>
      </w:r>
    </w:p>
    <w:p w14:paraId="2A301A21" w14:textId="694CCF0F" w:rsidR="003B3E89" w:rsidRPr="009C03D4" w:rsidRDefault="003B3E89" w:rsidP="003B3E89">
      <w:pPr>
        <w:rPr>
          <w:rFonts w:eastAsiaTheme="minorHAnsi" w:cs="Times New Roman"/>
          <w:szCs w:val="21"/>
          <w:shd w:val="clear" w:color="auto" w:fill="FFFFFF" w:themeFill="background1"/>
        </w:rPr>
      </w:pPr>
      <w:r w:rsidRPr="009C03D4">
        <w:rPr>
          <w:rFonts w:eastAsiaTheme="minorHAnsi" w:cs="Times New Roman"/>
          <w:szCs w:val="21"/>
          <w:shd w:val="clear" w:color="auto" w:fill="FFFFFF" w:themeFill="background1"/>
        </w:rPr>
        <w:t xml:space="preserve">The Fifth Amendment was ratified in 1791 as part of the United States Constitution. One of the most famous clauses is that "no one shall be compelled to testify against himself in any criminal case," which is known as the "right to remain silent." The protection is meant to prevent the government from abusing its power to compel suspects to give evidence that could be used against </w:t>
      </w:r>
      <w:r w:rsidR="00DC6DC0" w:rsidRPr="009C03D4">
        <w:rPr>
          <w:rFonts w:eastAsiaTheme="minorHAnsi" w:cs="Times New Roman"/>
          <w:szCs w:val="21"/>
          <w:shd w:val="clear" w:color="auto" w:fill="FFFFFF" w:themeFill="background1"/>
        </w:rPr>
        <w:t>them. The</w:t>
      </w:r>
      <w:r w:rsidRPr="009C03D4">
        <w:rPr>
          <w:rFonts w:eastAsiaTheme="minorHAnsi" w:cs="Times New Roman"/>
          <w:szCs w:val="21"/>
          <w:shd w:val="clear" w:color="auto" w:fill="FFFFFF" w:themeFill="background1"/>
        </w:rPr>
        <w:t xml:space="preserve"> Right to Counsel clause of the Sixth Amendment of the United States provides that defendants have the right to counsel in all criminal proceedings. If the defendant cannot afford an attorney, a public defender will be appointed.</w:t>
      </w:r>
    </w:p>
    <w:p w14:paraId="74E88D8E" w14:textId="77777777" w:rsidR="00FD602E" w:rsidRPr="009C03D4" w:rsidRDefault="00FD602E" w:rsidP="003B3E89">
      <w:pPr>
        <w:rPr>
          <w:rFonts w:eastAsiaTheme="minorHAnsi" w:cs="Times New Roman"/>
          <w:szCs w:val="21"/>
          <w:shd w:val="clear" w:color="auto" w:fill="FFFFFF" w:themeFill="background1"/>
        </w:rPr>
      </w:pPr>
    </w:p>
    <w:p w14:paraId="38DEADE4" w14:textId="77777777" w:rsidR="00FD602E" w:rsidRPr="009C03D4" w:rsidRDefault="00FD602E" w:rsidP="003B3E89">
      <w:pPr>
        <w:rPr>
          <w:rFonts w:eastAsiaTheme="minorHAnsi" w:cs="Times New Roman"/>
          <w:szCs w:val="21"/>
          <w:shd w:val="clear" w:color="auto" w:fill="FFFFFF" w:themeFill="background1"/>
        </w:rPr>
      </w:pPr>
    </w:p>
    <w:p w14:paraId="15D1D5C1" w14:textId="77777777" w:rsidR="00FD602E" w:rsidRPr="009C03D4" w:rsidRDefault="00FD602E" w:rsidP="003B3E89">
      <w:pPr>
        <w:rPr>
          <w:rFonts w:eastAsiaTheme="minorHAnsi" w:cs="Times New Roman"/>
          <w:szCs w:val="21"/>
          <w:shd w:val="clear" w:color="auto" w:fill="FFFFFF" w:themeFill="background1"/>
        </w:rPr>
      </w:pPr>
    </w:p>
    <w:p w14:paraId="1CB55FDA" w14:textId="77777777" w:rsidR="00FD602E" w:rsidRPr="009C03D4" w:rsidRDefault="00FD602E" w:rsidP="003B3E89">
      <w:pPr>
        <w:rPr>
          <w:rFonts w:eastAsiaTheme="minorHAnsi" w:cs="Times New Roman" w:hint="eastAsia"/>
          <w:szCs w:val="21"/>
          <w:shd w:val="clear" w:color="auto" w:fill="FFFFFF" w:themeFill="background1"/>
        </w:rPr>
      </w:pPr>
    </w:p>
    <w:p w14:paraId="32A55645" w14:textId="77777777" w:rsidR="003B3E89" w:rsidRPr="009C03D4" w:rsidRDefault="003B3E89" w:rsidP="003B3E89">
      <w:pPr>
        <w:ind w:firstLineChars="150" w:firstLine="315"/>
        <w:rPr>
          <w:rFonts w:eastAsiaTheme="minorHAnsi"/>
          <w:color w:val="0070C0"/>
          <w:szCs w:val="21"/>
          <w:shd w:val="clear" w:color="auto" w:fill="FFFFFF" w:themeFill="background1"/>
        </w:rPr>
      </w:pPr>
      <w:r w:rsidRPr="009C03D4">
        <w:rPr>
          <w:rFonts w:eastAsiaTheme="minorHAnsi"/>
          <w:color w:val="0070C0"/>
          <w:szCs w:val="21"/>
          <w:shd w:val="clear" w:color="auto" w:fill="FFFFFF" w:themeFill="background1"/>
        </w:rPr>
        <w:t xml:space="preserve">Miranda v. Arizona was a landmark court case in the United States, where the Supreme Court ruled in 1966 that detained criminal suspects, prior to police questioning, must be informed of their constitutional right to an attorney and against self-incrimination. </w:t>
      </w:r>
    </w:p>
    <w:p w14:paraId="0BEB5908" w14:textId="77777777" w:rsidR="003B3E89" w:rsidRPr="009C03D4" w:rsidRDefault="003B3E89" w:rsidP="003B3E89">
      <w:pPr>
        <w:rPr>
          <w:rFonts w:eastAsiaTheme="minorHAnsi"/>
          <w:color w:val="0070C0"/>
          <w:szCs w:val="21"/>
          <w:shd w:val="clear" w:color="auto" w:fill="FFFFFF" w:themeFill="background1"/>
        </w:rPr>
      </w:pPr>
    </w:p>
    <w:p w14:paraId="5EC331B7" w14:textId="77777777" w:rsidR="003B3E89" w:rsidRPr="009C03D4" w:rsidRDefault="003B3E89" w:rsidP="003B3E89">
      <w:pPr>
        <w:ind w:firstLineChars="100" w:firstLine="210"/>
        <w:rPr>
          <w:rFonts w:eastAsiaTheme="minorHAnsi"/>
          <w:color w:val="0070C0"/>
          <w:szCs w:val="21"/>
          <w:shd w:val="clear" w:color="auto" w:fill="FFFFFF" w:themeFill="background1"/>
        </w:rPr>
      </w:pPr>
      <w:r w:rsidRPr="009C03D4">
        <w:rPr>
          <w:rFonts w:eastAsiaTheme="minorHAnsi"/>
          <w:color w:val="0070C0"/>
          <w:szCs w:val="21"/>
          <w:shd w:val="clear" w:color="auto" w:fill="FFFFFF" w:themeFill="background1"/>
        </w:rPr>
        <w:t>While the case was a significant win for individual rights, it introduced certain ambiguities, particularly in its application and interpretation. Here are some:</w:t>
      </w:r>
    </w:p>
    <w:p w14:paraId="015720F6" w14:textId="77777777" w:rsidR="003B3E89" w:rsidRPr="009C03D4" w:rsidRDefault="003B3E89" w:rsidP="003B3E89">
      <w:pPr>
        <w:rPr>
          <w:rFonts w:eastAsiaTheme="minorHAnsi"/>
          <w:szCs w:val="21"/>
          <w:shd w:val="clear" w:color="auto" w:fill="FFFFFF" w:themeFill="background1"/>
        </w:rPr>
      </w:pPr>
      <w:r w:rsidRPr="009C03D4">
        <w:rPr>
          <w:rFonts w:eastAsiaTheme="minorHAnsi" w:hint="eastAsia"/>
          <w:szCs w:val="21"/>
          <w:shd w:val="clear" w:color="auto" w:fill="FFFFFF" w:themeFill="background1"/>
        </w:rPr>
        <w:t>（</w:t>
      </w:r>
      <w:r w:rsidRPr="009C03D4">
        <w:rPr>
          <w:rFonts w:eastAsiaTheme="minorHAnsi"/>
          <w:szCs w:val="21"/>
          <w:shd w:val="clear" w:color="auto" w:fill="FFFFFF" w:themeFill="background1"/>
        </w:rPr>
        <w:t>5</w:t>
      </w:r>
      <w:r w:rsidRPr="009C03D4">
        <w:rPr>
          <w:rFonts w:eastAsiaTheme="minorHAnsi" w:hint="eastAsia"/>
          <w:szCs w:val="21"/>
          <w:shd w:val="clear" w:color="auto" w:fill="FFFFFF" w:themeFill="background1"/>
        </w:rPr>
        <w:t>）Ambiguity：</w:t>
      </w:r>
    </w:p>
    <w:p w14:paraId="06982AED" w14:textId="77777777" w:rsidR="003B3E89" w:rsidRPr="009C03D4" w:rsidRDefault="003B3E89" w:rsidP="003B3E89">
      <w:pPr>
        <w:rPr>
          <w:rFonts w:eastAsiaTheme="minorHAnsi"/>
          <w:szCs w:val="21"/>
          <w:shd w:val="clear" w:color="auto" w:fill="FFFFFF" w:themeFill="background1"/>
        </w:rPr>
      </w:pPr>
    </w:p>
    <w:p w14:paraId="16B38A5D" w14:textId="77777777" w:rsidR="003B3E89" w:rsidRPr="009C03D4" w:rsidRDefault="003B3E89" w:rsidP="003B3E89">
      <w:pPr>
        <w:ind w:leftChars="250" w:left="525"/>
        <w:rPr>
          <w:rFonts w:eastAsiaTheme="minorHAnsi"/>
          <w:szCs w:val="21"/>
          <w:shd w:val="clear" w:color="auto" w:fill="FFFFFF" w:themeFill="background1"/>
        </w:rPr>
      </w:pPr>
      <w:r w:rsidRPr="009C03D4">
        <w:rPr>
          <w:rFonts w:eastAsiaTheme="minorHAnsi"/>
          <w:szCs w:val="21"/>
          <w:shd w:val="clear" w:color="auto" w:fill="FFFFFF" w:themeFill="background1"/>
        </w:rPr>
        <w:t xml:space="preserve">1) It is unclear when the Miranda rights are required to be read. Must they be read prior to any questioning, or only before a formal arrest or interrogation? </w:t>
      </w:r>
    </w:p>
    <w:p w14:paraId="00CFBC9B" w14:textId="77777777" w:rsidR="003B3E89" w:rsidRPr="009C03D4" w:rsidRDefault="003B3E89" w:rsidP="003B3E89">
      <w:pPr>
        <w:ind w:leftChars="250" w:left="525"/>
        <w:rPr>
          <w:rFonts w:eastAsiaTheme="minorHAnsi"/>
          <w:szCs w:val="21"/>
          <w:shd w:val="clear" w:color="auto" w:fill="FFFFFF" w:themeFill="background1"/>
        </w:rPr>
      </w:pPr>
    </w:p>
    <w:p w14:paraId="3C833DF6" w14:textId="77777777" w:rsidR="003B3E89" w:rsidRPr="009C03D4" w:rsidRDefault="003B3E89" w:rsidP="003B3E89">
      <w:pPr>
        <w:ind w:leftChars="250" w:left="525"/>
        <w:rPr>
          <w:rFonts w:eastAsiaTheme="minorHAnsi"/>
          <w:szCs w:val="21"/>
          <w:shd w:val="clear" w:color="auto" w:fill="FFFFFF" w:themeFill="background1"/>
        </w:rPr>
      </w:pPr>
      <w:r w:rsidRPr="009C03D4">
        <w:rPr>
          <w:rFonts w:eastAsiaTheme="minorHAnsi"/>
          <w:szCs w:val="21"/>
          <w:shd w:val="clear" w:color="auto" w:fill="FFFFFF" w:themeFill="background1"/>
        </w:rPr>
        <w:t>2) Another ambiguous area is the "public safety exception," which allows police officers to question a suspect before reading them their Miranda rights, if there's an immediate threat to public safety. The extent and application of this rule is not clearly defined.</w:t>
      </w:r>
    </w:p>
    <w:p w14:paraId="11ECE67C" w14:textId="77777777" w:rsidR="003B3E89" w:rsidRPr="009C03D4" w:rsidRDefault="003B3E89" w:rsidP="003B3E89">
      <w:pPr>
        <w:ind w:leftChars="250" w:left="525"/>
        <w:rPr>
          <w:rFonts w:eastAsiaTheme="minorHAnsi"/>
          <w:szCs w:val="21"/>
          <w:shd w:val="clear" w:color="auto" w:fill="FFFFFF" w:themeFill="background1"/>
        </w:rPr>
      </w:pPr>
    </w:p>
    <w:p w14:paraId="4852EB94" w14:textId="77777777" w:rsidR="003B3E89" w:rsidRPr="009C03D4" w:rsidRDefault="003B3E89" w:rsidP="003B3E89">
      <w:pPr>
        <w:ind w:leftChars="250" w:left="525"/>
        <w:rPr>
          <w:rFonts w:eastAsiaTheme="minorHAnsi"/>
          <w:szCs w:val="21"/>
          <w:shd w:val="clear" w:color="auto" w:fill="FFFFFF" w:themeFill="background1"/>
        </w:rPr>
      </w:pPr>
      <w:r w:rsidRPr="009C03D4">
        <w:rPr>
          <w:rFonts w:eastAsiaTheme="minorHAnsi"/>
          <w:szCs w:val="21"/>
          <w:shd w:val="clear" w:color="auto" w:fill="FFFFFF" w:themeFill="background1"/>
        </w:rPr>
        <w:t>3) The extent to which police may use evidence obtained without a Miranda warning is also ambiguous. Courts have differed on their interpretation of the rules established by the case.</w:t>
      </w:r>
    </w:p>
    <w:p w14:paraId="30246003" w14:textId="77777777" w:rsidR="003B3E89" w:rsidRPr="009C03D4" w:rsidRDefault="003B3E89" w:rsidP="003B3E89">
      <w:pPr>
        <w:ind w:leftChars="250" w:left="525"/>
        <w:rPr>
          <w:rFonts w:eastAsiaTheme="minorHAnsi"/>
          <w:szCs w:val="21"/>
          <w:shd w:val="clear" w:color="auto" w:fill="FFFFFF" w:themeFill="background1"/>
        </w:rPr>
      </w:pPr>
    </w:p>
    <w:p w14:paraId="7E84255C" w14:textId="77777777" w:rsidR="003B3E89" w:rsidRPr="009C03D4" w:rsidRDefault="003B3E89" w:rsidP="003B3E89">
      <w:pPr>
        <w:ind w:leftChars="250" w:left="525"/>
        <w:rPr>
          <w:rFonts w:eastAsiaTheme="minorHAnsi"/>
          <w:szCs w:val="21"/>
          <w:shd w:val="clear" w:color="auto" w:fill="FFFFFF" w:themeFill="background1"/>
        </w:rPr>
      </w:pPr>
      <w:r w:rsidRPr="009C03D4">
        <w:rPr>
          <w:rFonts w:eastAsiaTheme="minorHAnsi"/>
          <w:szCs w:val="21"/>
          <w:shd w:val="clear" w:color="auto" w:fill="FFFFFF" w:themeFill="background1"/>
        </w:rPr>
        <w:t>4) There's also ambiguity around what constitutes a "voluntary" waiver of Miranda rights. The suspect must knowingly and voluntarily waive these rights, but the line between voluntary and coerced can be blurred.</w:t>
      </w:r>
    </w:p>
    <w:p w14:paraId="2E9A2532" w14:textId="77777777" w:rsidR="003B3E89" w:rsidRPr="009C03D4" w:rsidRDefault="003B3E89" w:rsidP="003B3E89">
      <w:pPr>
        <w:ind w:leftChars="250" w:left="525"/>
        <w:rPr>
          <w:rFonts w:eastAsiaTheme="minorHAnsi"/>
          <w:szCs w:val="21"/>
          <w:shd w:val="clear" w:color="auto" w:fill="FFFFFF" w:themeFill="background1"/>
        </w:rPr>
      </w:pPr>
    </w:p>
    <w:p w14:paraId="6A91C2DB" w14:textId="77777777" w:rsidR="003B3E89" w:rsidRPr="009C03D4" w:rsidRDefault="003B3E89" w:rsidP="003B3E89">
      <w:pPr>
        <w:ind w:leftChars="250" w:left="525"/>
        <w:rPr>
          <w:rFonts w:eastAsiaTheme="minorHAnsi"/>
          <w:szCs w:val="21"/>
          <w:shd w:val="clear" w:color="auto" w:fill="FFFFFF" w:themeFill="background1"/>
        </w:rPr>
      </w:pPr>
      <w:r w:rsidRPr="009C03D4">
        <w:rPr>
          <w:rFonts w:eastAsiaTheme="minorHAnsi"/>
          <w:szCs w:val="21"/>
          <w:shd w:val="clear" w:color="auto" w:fill="FFFFFF" w:themeFill="background1"/>
        </w:rPr>
        <w:t xml:space="preserve">5) Lastly, even after a defendant has invoked their Miranda rights, law enforcement officers can re-initiate questioning after a break in time, a concept that introduces further ambiguity into the Miranda rule. </w:t>
      </w:r>
    </w:p>
    <w:p w14:paraId="74ED47A3" w14:textId="77777777" w:rsidR="003B3E89" w:rsidRPr="009C03D4" w:rsidRDefault="003B3E89" w:rsidP="003B3E89">
      <w:pPr>
        <w:ind w:firstLineChars="100" w:firstLine="210"/>
        <w:rPr>
          <w:rFonts w:eastAsiaTheme="minorHAnsi"/>
          <w:color w:val="0070C0"/>
          <w:szCs w:val="21"/>
          <w:shd w:val="clear" w:color="auto" w:fill="FFFFFF" w:themeFill="background1"/>
        </w:rPr>
      </w:pPr>
      <w:r w:rsidRPr="009C03D4">
        <w:rPr>
          <w:rFonts w:eastAsiaTheme="minorHAnsi"/>
          <w:color w:val="0070C0"/>
          <w:szCs w:val="21"/>
          <w:shd w:val="clear" w:color="auto" w:fill="FFFFFF" w:themeFill="background1"/>
        </w:rPr>
        <w:t>These ambiguities are often interpreted differently by different courts, leading to complex debates in legal circles.</w:t>
      </w:r>
    </w:p>
    <w:p w14:paraId="4DE230A0" w14:textId="77777777" w:rsidR="003B3E89" w:rsidRPr="009C03D4" w:rsidRDefault="003B3E89" w:rsidP="003B3E89">
      <w:pPr>
        <w:ind w:leftChars="250" w:left="525"/>
        <w:rPr>
          <w:rFonts w:eastAsiaTheme="minorHAnsi"/>
          <w:szCs w:val="21"/>
          <w:shd w:val="clear" w:color="auto" w:fill="FFFFFF" w:themeFill="background1"/>
        </w:rPr>
      </w:pPr>
    </w:p>
    <w:p w14:paraId="79704011" w14:textId="77777777" w:rsidR="003B3E89" w:rsidRPr="009C03D4" w:rsidRDefault="003B3E89" w:rsidP="003B3E89">
      <w:pPr>
        <w:ind w:firstLineChars="100" w:firstLine="210"/>
        <w:rPr>
          <w:rFonts w:eastAsiaTheme="minorHAnsi"/>
          <w:color w:val="0070C0"/>
          <w:szCs w:val="21"/>
          <w:shd w:val="clear" w:color="auto" w:fill="FFFFFF" w:themeFill="background1"/>
        </w:rPr>
      </w:pPr>
      <w:r w:rsidRPr="009C03D4">
        <w:rPr>
          <w:rFonts w:eastAsiaTheme="minorHAnsi"/>
          <w:color w:val="0070C0"/>
          <w:szCs w:val="21"/>
          <w:shd w:val="clear" w:color="auto" w:fill="FFFFFF" w:themeFill="background1"/>
        </w:rPr>
        <w:t xml:space="preserve">The Miranda v. Arizona case established essential ethical norms within the U.S. criminal </w:t>
      </w:r>
      <w:r w:rsidRPr="009C03D4">
        <w:rPr>
          <w:rFonts w:eastAsiaTheme="minorHAnsi"/>
          <w:color w:val="0070C0"/>
          <w:szCs w:val="21"/>
          <w:shd w:val="clear" w:color="auto" w:fill="FFFFFF" w:themeFill="background1"/>
        </w:rPr>
        <w:lastRenderedPageBreak/>
        <w:t>justice system. These include:</w:t>
      </w:r>
    </w:p>
    <w:p w14:paraId="6256B320" w14:textId="77777777" w:rsidR="003B3E89" w:rsidRPr="009C03D4" w:rsidRDefault="003B3E89" w:rsidP="003B3E89">
      <w:pPr>
        <w:rPr>
          <w:rFonts w:eastAsiaTheme="minorHAnsi"/>
          <w:szCs w:val="21"/>
          <w:shd w:val="clear" w:color="auto" w:fill="FFFFFF" w:themeFill="background1"/>
        </w:rPr>
      </w:pPr>
      <w:r w:rsidRPr="009C03D4">
        <w:rPr>
          <w:rFonts w:eastAsiaTheme="minorHAnsi" w:hint="eastAsia"/>
          <w:szCs w:val="21"/>
          <w:shd w:val="clear" w:color="auto" w:fill="FFFFFF" w:themeFill="background1"/>
        </w:rPr>
        <w:t>（6）Ethical</w:t>
      </w:r>
      <w:r w:rsidRPr="009C03D4">
        <w:rPr>
          <w:rFonts w:eastAsiaTheme="minorHAnsi"/>
          <w:szCs w:val="21"/>
          <w:shd w:val="clear" w:color="auto" w:fill="FFFFFF" w:themeFill="background1"/>
        </w:rPr>
        <w:t xml:space="preserve"> </w:t>
      </w:r>
      <w:r w:rsidRPr="009C03D4">
        <w:rPr>
          <w:rFonts w:eastAsiaTheme="minorHAnsi" w:hint="eastAsia"/>
          <w:szCs w:val="21"/>
          <w:shd w:val="clear" w:color="auto" w:fill="FFFFFF" w:themeFill="background1"/>
        </w:rPr>
        <w:t>norms：</w:t>
      </w:r>
    </w:p>
    <w:p w14:paraId="3322C2A5" w14:textId="77777777" w:rsidR="003B3E89" w:rsidRPr="009C03D4" w:rsidRDefault="003B3E89" w:rsidP="003B3E89">
      <w:pPr>
        <w:rPr>
          <w:rFonts w:eastAsiaTheme="minorHAnsi"/>
          <w:szCs w:val="21"/>
          <w:shd w:val="clear" w:color="auto" w:fill="FFFFFF" w:themeFill="background1"/>
        </w:rPr>
      </w:pPr>
    </w:p>
    <w:p w14:paraId="5791FC9F" w14:textId="77777777" w:rsidR="003B3E89" w:rsidRPr="009C03D4" w:rsidRDefault="003B3E89" w:rsidP="003B3E89">
      <w:pPr>
        <w:ind w:leftChars="250" w:left="525"/>
        <w:rPr>
          <w:rFonts w:eastAsiaTheme="minorHAnsi"/>
          <w:szCs w:val="21"/>
          <w:shd w:val="clear" w:color="auto" w:fill="FFFFFF" w:themeFill="background1"/>
        </w:rPr>
      </w:pPr>
      <w:r w:rsidRPr="009C03D4">
        <w:rPr>
          <w:rFonts w:eastAsiaTheme="minorHAnsi"/>
          <w:szCs w:val="21"/>
          <w:shd w:val="clear" w:color="auto" w:fill="FFFFFF" w:themeFill="background1"/>
        </w:rPr>
        <w:t>1) The Right to Silence: This principle, which is now universally recognized, respects the dignity and autonomy of individuals, protecting them from potential coercion or manipulation during police interrogation.</w:t>
      </w:r>
    </w:p>
    <w:p w14:paraId="169540F2" w14:textId="77777777" w:rsidR="003B3E89" w:rsidRPr="009C03D4" w:rsidRDefault="003B3E89" w:rsidP="003B3E89">
      <w:pPr>
        <w:ind w:leftChars="250" w:left="525"/>
        <w:rPr>
          <w:rFonts w:eastAsiaTheme="minorHAnsi"/>
          <w:szCs w:val="21"/>
          <w:shd w:val="clear" w:color="auto" w:fill="FFFFFF" w:themeFill="background1"/>
        </w:rPr>
      </w:pPr>
    </w:p>
    <w:p w14:paraId="76E94DF1" w14:textId="77777777" w:rsidR="003B3E89" w:rsidRPr="009C03D4" w:rsidRDefault="003B3E89" w:rsidP="003B3E89">
      <w:pPr>
        <w:ind w:leftChars="250" w:left="525"/>
        <w:rPr>
          <w:rFonts w:eastAsiaTheme="minorHAnsi"/>
          <w:szCs w:val="21"/>
          <w:shd w:val="clear" w:color="auto" w:fill="FFFFFF" w:themeFill="background1"/>
        </w:rPr>
      </w:pPr>
      <w:r w:rsidRPr="009C03D4">
        <w:rPr>
          <w:rFonts w:eastAsiaTheme="minorHAnsi"/>
          <w:szCs w:val="21"/>
          <w:shd w:val="clear" w:color="auto" w:fill="FFFFFF" w:themeFill="background1"/>
        </w:rPr>
        <w:t>2) The Right to Counsel: Detained suspects have the right to consult with an attorney before and during interrogations. This ensures equal representation and fair treatment within the justice system.</w:t>
      </w:r>
    </w:p>
    <w:p w14:paraId="6F600212" w14:textId="77777777" w:rsidR="003B3E89" w:rsidRPr="009C03D4" w:rsidRDefault="003B3E89" w:rsidP="003B3E89">
      <w:pPr>
        <w:ind w:leftChars="250" w:left="525"/>
        <w:rPr>
          <w:rFonts w:eastAsiaTheme="minorHAnsi"/>
          <w:szCs w:val="21"/>
          <w:shd w:val="clear" w:color="auto" w:fill="FFFFFF" w:themeFill="background1"/>
        </w:rPr>
      </w:pPr>
    </w:p>
    <w:p w14:paraId="513C5F8E" w14:textId="77777777" w:rsidR="003B3E89" w:rsidRPr="009C03D4" w:rsidRDefault="003B3E89" w:rsidP="003B3E89">
      <w:pPr>
        <w:ind w:leftChars="250" w:left="525"/>
        <w:rPr>
          <w:rFonts w:eastAsiaTheme="minorHAnsi"/>
          <w:szCs w:val="21"/>
          <w:shd w:val="clear" w:color="auto" w:fill="FFFFFF" w:themeFill="background1"/>
        </w:rPr>
      </w:pPr>
      <w:r w:rsidRPr="009C03D4">
        <w:rPr>
          <w:rFonts w:eastAsiaTheme="minorHAnsi"/>
          <w:szCs w:val="21"/>
          <w:shd w:val="clear" w:color="auto" w:fill="FFFFFF" w:themeFill="background1"/>
        </w:rPr>
        <w:t>3) Informed Consent: Police must inform suspects of their rights in a clear, comprehensible manner before they can validly waive them. This ethical norm prevents manipulation or coercion by ensuring suspects understand their rights and the consequences of waiving them.</w:t>
      </w:r>
    </w:p>
    <w:p w14:paraId="142A9D89" w14:textId="77777777" w:rsidR="003B3E89" w:rsidRPr="009C03D4" w:rsidRDefault="003B3E89" w:rsidP="003B3E89">
      <w:pPr>
        <w:ind w:leftChars="250" w:left="525"/>
        <w:rPr>
          <w:rFonts w:eastAsiaTheme="minorHAnsi"/>
          <w:szCs w:val="21"/>
          <w:shd w:val="clear" w:color="auto" w:fill="FFFFFF" w:themeFill="background1"/>
        </w:rPr>
      </w:pPr>
    </w:p>
    <w:p w14:paraId="41EA472B" w14:textId="77777777" w:rsidR="003B3E89" w:rsidRPr="009C03D4" w:rsidRDefault="003B3E89" w:rsidP="003B3E89">
      <w:pPr>
        <w:ind w:leftChars="250" w:left="525"/>
        <w:rPr>
          <w:rFonts w:eastAsiaTheme="minorHAnsi"/>
          <w:szCs w:val="21"/>
          <w:shd w:val="clear" w:color="auto" w:fill="FFFFFF" w:themeFill="background1"/>
        </w:rPr>
      </w:pPr>
      <w:r w:rsidRPr="009C03D4">
        <w:rPr>
          <w:rFonts w:eastAsiaTheme="minorHAnsi"/>
          <w:szCs w:val="21"/>
          <w:shd w:val="clear" w:color="auto" w:fill="FFFFFF" w:themeFill="background1"/>
        </w:rPr>
        <w:t>4) Voluntariness: For any confession or admission to be valid, it must be made voluntarily. This norm adheres to the principles of fair play and justice, preventing coerced or involuntary confessions from being used in court.</w:t>
      </w:r>
    </w:p>
    <w:p w14:paraId="53B91184" w14:textId="77777777" w:rsidR="003B3E89" w:rsidRPr="009C03D4" w:rsidRDefault="003B3E89" w:rsidP="003B3E89">
      <w:pPr>
        <w:ind w:firstLineChars="100" w:firstLine="210"/>
        <w:rPr>
          <w:rFonts w:eastAsiaTheme="minorHAnsi"/>
          <w:color w:val="0070C0"/>
          <w:szCs w:val="21"/>
          <w:shd w:val="clear" w:color="auto" w:fill="FFFFFF" w:themeFill="background1"/>
        </w:rPr>
      </w:pPr>
      <w:r w:rsidRPr="009C03D4">
        <w:rPr>
          <w:rFonts w:eastAsiaTheme="minorHAnsi"/>
          <w:color w:val="0070C0"/>
          <w:szCs w:val="21"/>
          <w:shd w:val="clear" w:color="auto" w:fill="FFFFFF" w:themeFill="background1"/>
        </w:rPr>
        <w:t>In sum, the ethical norms arising from the Miranda v. Arizona case fundamentally meet the principles of respect for persons, beneficence and justice that underpin ethical practice. These principles protect individual freedoms, balance power dynamics between law enforcement and citizens, and contribute to the overall fairness of the judicial system.</w:t>
      </w:r>
    </w:p>
    <w:p w14:paraId="7DE1C712" w14:textId="77777777" w:rsidR="003B3E89" w:rsidRPr="009C03D4" w:rsidRDefault="003B3E89" w:rsidP="003B3E89">
      <w:pPr>
        <w:rPr>
          <w:rFonts w:eastAsiaTheme="minorHAnsi"/>
          <w:color w:val="0070C0"/>
          <w:szCs w:val="21"/>
          <w:shd w:val="clear" w:color="auto" w:fill="FFFFFF" w:themeFill="background1"/>
        </w:rPr>
      </w:pPr>
    </w:p>
    <w:p w14:paraId="599F00BD" w14:textId="77777777" w:rsidR="003B3E89" w:rsidRPr="009C03D4" w:rsidRDefault="003B3E89" w:rsidP="003B3E89">
      <w:pPr>
        <w:ind w:firstLineChars="100" w:firstLine="210"/>
        <w:rPr>
          <w:rFonts w:eastAsiaTheme="minorHAnsi"/>
          <w:color w:val="0070C0"/>
          <w:szCs w:val="21"/>
          <w:shd w:val="clear" w:color="auto" w:fill="FFFFFF" w:themeFill="background1"/>
        </w:rPr>
      </w:pPr>
      <w:r w:rsidRPr="009C03D4">
        <w:rPr>
          <w:rFonts w:eastAsiaTheme="minorHAnsi"/>
          <w:color w:val="0070C0"/>
          <w:szCs w:val="21"/>
          <w:shd w:val="clear" w:color="auto" w:fill="FFFFFF" w:themeFill="background1"/>
        </w:rPr>
        <w:t>Miranda v. Arizona serves as a legal benchmark and its principles have been applied in numerous subsequent cases. Here are a few legal analogies, where the concepts of this landmark case have been drawn upon:</w:t>
      </w:r>
    </w:p>
    <w:p w14:paraId="43EC2E99" w14:textId="77777777" w:rsidR="003B3E89" w:rsidRPr="009C03D4" w:rsidRDefault="003B3E89" w:rsidP="003B3E89">
      <w:pPr>
        <w:rPr>
          <w:rFonts w:eastAsiaTheme="minorHAnsi"/>
          <w:szCs w:val="21"/>
          <w:shd w:val="clear" w:color="auto" w:fill="FFFFFF" w:themeFill="background1"/>
        </w:rPr>
      </w:pPr>
      <w:r w:rsidRPr="009C03D4">
        <w:rPr>
          <w:rFonts w:eastAsiaTheme="minorHAnsi" w:hint="eastAsia"/>
          <w:szCs w:val="21"/>
          <w:shd w:val="clear" w:color="auto" w:fill="FFFFFF" w:themeFill="background1"/>
        </w:rPr>
        <w:t>（7）Legal</w:t>
      </w:r>
      <w:r w:rsidRPr="009C03D4">
        <w:rPr>
          <w:rFonts w:eastAsiaTheme="minorHAnsi"/>
          <w:szCs w:val="21"/>
          <w:shd w:val="clear" w:color="auto" w:fill="FFFFFF" w:themeFill="background1"/>
        </w:rPr>
        <w:t xml:space="preserve"> </w:t>
      </w:r>
      <w:r w:rsidRPr="009C03D4">
        <w:rPr>
          <w:rFonts w:eastAsiaTheme="minorHAnsi" w:hint="eastAsia"/>
          <w:szCs w:val="21"/>
          <w:shd w:val="clear" w:color="auto" w:fill="FFFFFF" w:themeFill="background1"/>
        </w:rPr>
        <w:t>analogies</w:t>
      </w:r>
    </w:p>
    <w:p w14:paraId="56C4788D" w14:textId="77777777" w:rsidR="003B3E89" w:rsidRPr="009C03D4" w:rsidRDefault="003B3E89" w:rsidP="003B3E89">
      <w:pPr>
        <w:rPr>
          <w:rFonts w:eastAsiaTheme="minorHAnsi"/>
          <w:szCs w:val="21"/>
          <w:shd w:val="clear" w:color="auto" w:fill="FFFFFF" w:themeFill="background1"/>
        </w:rPr>
      </w:pPr>
    </w:p>
    <w:p w14:paraId="4A519250" w14:textId="77777777" w:rsidR="003B3E89" w:rsidRPr="009C03D4" w:rsidRDefault="003B3E89" w:rsidP="003B3E89">
      <w:pPr>
        <w:ind w:leftChars="250" w:left="525"/>
        <w:rPr>
          <w:rFonts w:eastAsiaTheme="minorHAnsi"/>
          <w:szCs w:val="21"/>
          <w:shd w:val="clear" w:color="auto" w:fill="FFFFFF" w:themeFill="background1"/>
        </w:rPr>
      </w:pPr>
      <w:r w:rsidRPr="009C03D4">
        <w:rPr>
          <w:rFonts w:eastAsiaTheme="minorHAnsi"/>
          <w:szCs w:val="21"/>
          <w:shd w:val="clear" w:color="auto" w:fill="FFFFFF" w:themeFill="background1"/>
        </w:rPr>
        <w:t>1) In the 1968 case of Mathis v. United States, the court held that the Miranda warnings are obligatory not just in a police precinct, but also when a person is in jail for an unrelated offense, further solidifying the ruling's broad application.</w:t>
      </w:r>
    </w:p>
    <w:p w14:paraId="3666DFC7" w14:textId="77777777" w:rsidR="003B3E89" w:rsidRPr="009C03D4" w:rsidRDefault="003B3E89" w:rsidP="003B3E89">
      <w:pPr>
        <w:ind w:leftChars="250" w:left="525"/>
        <w:rPr>
          <w:rFonts w:eastAsiaTheme="minorHAnsi"/>
          <w:szCs w:val="21"/>
          <w:shd w:val="clear" w:color="auto" w:fill="FFFFFF" w:themeFill="background1"/>
        </w:rPr>
      </w:pPr>
    </w:p>
    <w:p w14:paraId="23A3B188" w14:textId="77777777" w:rsidR="003B3E89" w:rsidRPr="009C03D4" w:rsidRDefault="003B3E89" w:rsidP="003B3E89">
      <w:pPr>
        <w:ind w:leftChars="250" w:left="525"/>
        <w:rPr>
          <w:rFonts w:eastAsiaTheme="minorHAnsi"/>
          <w:szCs w:val="21"/>
          <w:shd w:val="clear" w:color="auto" w:fill="FFFFFF" w:themeFill="background1"/>
        </w:rPr>
      </w:pPr>
      <w:r w:rsidRPr="009C03D4">
        <w:rPr>
          <w:rFonts w:eastAsiaTheme="minorHAnsi"/>
          <w:szCs w:val="21"/>
          <w:shd w:val="clear" w:color="auto" w:fill="FFFFFF" w:themeFill="background1"/>
        </w:rPr>
        <w:t>2) The case of Berghuis v. Thompkins in 2010 concerned the requirement for a defendant to invoke the right to remain silent. The Supreme Court held that unless the defendant explicitly invokes these rights, any subsequent voluntary statements can be used in court.</w:t>
      </w:r>
    </w:p>
    <w:p w14:paraId="59DE78E2" w14:textId="77777777" w:rsidR="003B3E89" w:rsidRPr="009C03D4" w:rsidRDefault="003B3E89" w:rsidP="003B3E89">
      <w:pPr>
        <w:ind w:leftChars="250" w:left="525"/>
        <w:rPr>
          <w:rFonts w:eastAsiaTheme="minorHAnsi"/>
          <w:szCs w:val="21"/>
          <w:shd w:val="clear" w:color="auto" w:fill="FFFFFF" w:themeFill="background1"/>
        </w:rPr>
      </w:pPr>
    </w:p>
    <w:p w14:paraId="46D06512" w14:textId="77777777" w:rsidR="003B3E89" w:rsidRPr="009C03D4" w:rsidRDefault="003B3E89" w:rsidP="003B3E89">
      <w:pPr>
        <w:ind w:leftChars="250" w:left="525"/>
        <w:rPr>
          <w:rFonts w:eastAsiaTheme="minorHAnsi"/>
          <w:szCs w:val="21"/>
          <w:shd w:val="clear" w:color="auto" w:fill="FFFFFF" w:themeFill="background1"/>
        </w:rPr>
      </w:pPr>
      <w:r w:rsidRPr="009C03D4">
        <w:rPr>
          <w:rFonts w:eastAsiaTheme="minorHAnsi"/>
          <w:szCs w:val="21"/>
          <w:shd w:val="clear" w:color="auto" w:fill="FFFFFF" w:themeFill="background1"/>
        </w:rPr>
        <w:t>3) In Michigan v. Mosley (1975), the court acknowledged that a person's Miranda right to stop questioning can be upheld, while still allowing police to restart questioning after a significant passage of time and a fresh set of warnings. It assisted in defining the rules for re-engagement after rights have been invoked.</w:t>
      </w:r>
    </w:p>
    <w:p w14:paraId="43C23DC1" w14:textId="77777777" w:rsidR="003B3E89" w:rsidRPr="009C03D4" w:rsidRDefault="003B3E89" w:rsidP="003B3E89">
      <w:pPr>
        <w:ind w:leftChars="250" w:left="525"/>
        <w:rPr>
          <w:rFonts w:eastAsiaTheme="minorHAnsi"/>
          <w:szCs w:val="21"/>
          <w:shd w:val="clear" w:color="auto" w:fill="FFFFFF" w:themeFill="background1"/>
        </w:rPr>
      </w:pPr>
    </w:p>
    <w:p w14:paraId="0DC7E344" w14:textId="77777777" w:rsidR="003B3E89" w:rsidRPr="009C03D4" w:rsidRDefault="003B3E89" w:rsidP="003B3E89">
      <w:pPr>
        <w:ind w:leftChars="250" w:left="525"/>
        <w:rPr>
          <w:rFonts w:eastAsiaTheme="minorHAnsi"/>
          <w:szCs w:val="21"/>
          <w:shd w:val="clear" w:color="auto" w:fill="FFFFFF" w:themeFill="background1"/>
        </w:rPr>
      </w:pPr>
      <w:r w:rsidRPr="009C03D4">
        <w:rPr>
          <w:rFonts w:eastAsiaTheme="minorHAnsi"/>
          <w:szCs w:val="21"/>
          <w:shd w:val="clear" w:color="auto" w:fill="FFFFFF" w:themeFill="background1"/>
        </w:rPr>
        <w:t xml:space="preserve">4) The case of Maryland v. Shatzer in 2010 clarified the issue of re-interrogation after </w:t>
      </w:r>
      <w:r w:rsidRPr="009C03D4">
        <w:rPr>
          <w:rFonts w:eastAsiaTheme="minorHAnsi"/>
          <w:szCs w:val="21"/>
          <w:shd w:val="clear" w:color="auto" w:fill="FFFFFF" w:themeFill="background1"/>
        </w:rPr>
        <w:lastRenderedPageBreak/>
        <w:t>the defendants had already invoked their Miranda rights. The court established the "14-day rule," holding that police can reinitiate interrogation 14 days after the initial arrest and release, once again highlighting the application of Miranda rules in varying scenarios.</w:t>
      </w:r>
    </w:p>
    <w:p w14:paraId="48666C7D" w14:textId="77777777" w:rsidR="003B3E89" w:rsidRPr="009C03D4" w:rsidRDefault="003B3E89" w:rsidP="003B3E89">
      <w:pPr>
        <w:ind w:firstLineChars="100" w:firstLine="210"/>
        <w:rPr>
          <w:rFonts w:eastAsiaTheme="minorHAnsi"/>
          <w:color w:val="0070C0"/>
          <w:szCs w:val="21"/>
          <w:shd w:val="clear" w:color="auto" w:fill="FFFFFF" w:themeFill="background1"/>
        </w:rPr>
      </w:pPr>
      <w:r w:rsidRPr="009C03D4">
        <w:rPr>
          <w:rFonts w:eastAsiaTheme="minorHAnsi"/>
          <w:color w:val="0070C0"/>
          <w:szCs w:val="21"/>
          <w:shd w:val="clear" w:color="auto" w:fill="FFFFFF" w:themeFill="background1"/>
        </w:rPr>
        <w:t>Through these analogies, it's clear that Miranda v. Arizona continues to be used as a legal landmark and a guiding principle in understanding and interpreting issues on self-incrimination and right to counsel.</w:t>
      </w:r>
    </w:p>
    <w:p w14:paraId="1C5CC783" w14:textId="77777777" w:rsidR="003B3E89" w:rsidRPr="009C03D4" w:rsidRDefault="003B3E89" w:rsidP="003B3E89">
      <w:pPr>
        <w:ind w:leftChars="250" w:left="525"/>
        <w:rPr>
          <w:rFonts w:eastAsiaTheme="minorHAnsi"/>
          <w:color w:val="0070C0"/>
          <w:szCs w:val="21"/>
          <w:shd w:val="clear" w:color="auto" w:fill="FFFFFF" w:themeFill="background1"/>
        </w:rPr>
      </w:pPr>
    </w:p>
    <w:p w14:paraId="2E5EA6BC" w14:textId="77777777" w:rsidR="003B3E89" w:rsidRPr="009C03D4" w:rsidRDefault="003B3E89" w:rsidP="003B3E89">
      <w:pPr>
        <w:ind w:firstLineChars="100" w:firstLine="210"/>
        <w:rPr>
          <w:rFonts w:eastAsiaTheme="minorHAnsi"/>
          <w:color w:val="0070C0"/>
          <w:szCs w:val="21"/>
          <w:shd w:val="clear" w:color="auto" w:fill="FFFFFF" w:themeFill="background1"/>
        </w:rPr>
      </w:pPr>
      <w:r w:rsidRPr="009C03D4">
        <w:rPr>
          <w:rFonts w:eastAsiaTheme="minorHAnsi"/>
          <w:color w:val="0070C0"/>
          <w:szCs w:val="21"/>
          <w:shd w:val="clear" w:color="auto" w:fill="FFFFFF" w:themeFill="background1"/>
        </w:rPr>
        <w:t>While the Miranda v. Arizona case was instrumental in protecting individual rights during police interrogations, there are still gaps or missing areas of information, particularly regarding its practical application and execution. Here are some:</w:t>
      </w:r>
    </w:p>
    <w:p w14:paraId="002F5258" w14:textId="77777777" w:rsidR="003B3E89" w:rsidRPr="009C03D4" w:rsidRDefault="003B3E89" w:rsidP="003B3E89">
      <w:pPr>
        <w:rPr>
          <w:rFonts w:eastAsiaTheme="minorHAnsi"/>
          <w:szCs w:val="21"/>
          <w:shd w:val="clear" w:color="auto" w:fill="FFFFFF" w:themeFill="background1"/>
        </w:rPr>
      </w:pPr>
      <w:r w:rsidRPr="009C03D4">
        <w:rPr>
          <w:rFonts w:eastAsiaTheme="minorHAnsi" w:hint="eastAsia"/>
          <w:szCs w:val="21"/>
          <w:shd w:val="clear" w:color="auto" w:fill="FFFFFF" w:themeFill="background1"/>
        </w:rPr>
        <w:t>（8）missing</w:t>
      </w:r>
      <w:r w:rsidRPr="009C03D4">
        <w:rPr>
          <w:rFonts w:eastAsiaTheme="minorHAnsi"/>
          <w:szCs w:val="21"/>
          <w:shd w:val="clear" w:color="auto" w:fill="FFFFFF" w:themeFill="background1"/>
        </w:rPr>
        <w:t xml:space="preserve"> </w:t>
      </w:r>
      <w:r w:rsidRPr="009C03D4">
        <w:rPr>
          <w:rFonts w:eastAsiaTheme="minorHAnsi" w:hint="eastAsia"/>
          <w:szCs w:val="21"/>
          <w:shd w:val="clear" w:color="auto" w:fill="FFFFFF" w:themeFill="background1"/>
        </w:rPr>
        <w:t>information</w:t>
      </w:r>
    </w:p>
    <w:p w14:paraId="3276977E" w14:textId="77777777" w:rsidR="003B3E89" w:rsidRPr="009C03D4" w:rsidRDefault="003B3E89" w:rsidP="003B3E89">
      <w:pPr>
        <w:rPr>
          <w:rFonts w:eastAsiaTheme="minorHAnsi"/>
          <w:szCs w:val="21"/>
          <w:shd w:val="clear" w:color="auto" w:fill="FFFFFF" w:themeFill="background1"/>
        </w:rPr>
      </w:pPr>
    </w:p>
    <w:p w14:paraId="0A9E85FC" w14:textId="77777777" w:rsidR="003B3E89" w:rsidRPr="009C03D4" w:rsidRDefault="003B3E89" w:rsidP="003B3E89">
      <w:pPr>
        <w:ind w:left="567"/>
        <w:rPr>
          <w:rFonts w:eastAsiaTheme="minorHAnsi"/>
          <w:szCs w:val="21"/>
          <w:shd w:val="clear" w:color="auto" w:fill="FFFFFF" w:themeFill="background1"/>
        </w:rPr>
      </w:pPr>
      <w:r w:rsidRPr="009C03D4">
        <w:rPr>
          <w:rFonts w:eastAsiaTheme="minorHAnsi"/>
          <w:szCs w:val="21"/>
          <w:shd w:val="clear" w:color="auto" w:fill="FFFFFF" w:themeFill="background1"/>
        </w:rPr>
        <w:t>1) The exact time at which Miranda warnings need to be issued is not clearly defined. Do they need to be given at the moment of arrest, or before any form of question related to the crime takes place?</w:t>
      </w:r>
    </w:p>
    <w:p w14:paraId="7E86C1CD" w14:textId="77777777" w:rsidR="003B3E89" w:rsidRPr="009C03D4" w:rsidRDefault="003B3E89" w:rsidP="003B3E89">
      <w:pPr>
        <w:ind w:left="567"/>
        <w:rPr>
          <w:rFonts w:eastAsiaTheme="minorHAnsi"/>
          <w:szCs w:val="21"/>
          <w:shd w:val="clear" w:color="auto" w:fill="FFFFFF" w:themeFill="background1"/>
        </w:rPr>
      </w:pPr>
    </w:p>
    <w:p w14:paraId="12C5CA97" w14:textId="77777777" w:rsidR="003B3E89" w:rsidRPr="009C03D4" w:rsidRDefault="003B3E89" w:rsidP="003B3E89">
      <w:pPr>
        <w:ind w:left="567"/>
        <w:rPr>
          <w:rFonts w:eastAsiaTheme="minorHAnsi"/>
          <w:szCs w:val="21"/>
          <w:shd w:val="clear" w:color="auto" w:fill="FFFFFF" w:themeFill="background1"/>
        </w:rPr>
      </w:pPr>
      <w:r w:rsidRPr="009C03D4">
        <w:rPr>
          <w:rFonts w:eastAsiaTheme="minorHAnsi"/>
          <w:szCs w:val="21"/>
          <w:shd w:val="clear" w:color="auto" w:fill="FFFFFF" w:themeFill="background1"/>
        </w:rPr>
        <w:t>2) There is a lack of clear guidelines on what happens when the police fail to properly administer Miranda rights. The general consequence is that the statements obtained in such situations cannot be used in court, but real-world applications vary.</w:t>
      </w:r>
    </w:p>
    <w:p w14:paraId="48F9B2BC" w14:textId="77777777" w:rsidR="003B3E89" w:rsidRPr="009C03D4" w:rsidRDefault="003B3E89" w:rsidP="003B3E89">
      <w:pPr>
        <w:ind w:left="567"/>
        <w:rPr>
          <w:rFonts w:eastAsiaTheme="minorHAnsi"/>
          <w:szCs w:val="21"/>
          <w:shd w:val="clear" w:color="auto" w:fill="FFFFFF" w:themeFill="background1"/>
        </w:rPr>
      </w:pPr>
    </w:p>
    <w:p w14:paraId="2E4AB2C3" w14:textId="77777777" w:rsidR="003B3E89" w:rsidRPr="009C03D4" w:rsidRDefault="003B3E89" w:rsidP="003B3E89">
      <w:pPr>
        <w:ind w:left="567"/>
        <w:rPr>
          <w:rFonts w:eastAsiaTheme="minorHAnsi"/>
          <w:szCs w:val="21"/>
          <w:shd w:val="clear" w:color="auto" w:fill="FFFFFF" w:themeFill="background1"/>
        </w:rPr>
      </w:pPr>
      <w:r w:rsidRPr="009C03D4">
        <w:rPr>
          <w:rFonts w:eastAsiaTheme="minorHAnsi"/>
          <w:szCs w:val="21"/>
          <w:shd w:val="clear" w:color="auto" w:fill="FFFFFF" w:themeFill="background1"/>
        </w:rPr>
        <w:t>3) The effectiveness of the Miranda rights is questioned. Some argue that suspects, particularly those unaware of their rights or unable to understand them, can still be manipulated into waiving their rights.</w:t>
      </w:r>
    </w:p>
    <w:p w14:paraId="02B89BDD" w14:textId="77777777" w:rsidR="003B3E89" w:rsidRPr="009C03D4" w:rsidRDefault="003B3E89" w:rsidP="003B3E89">
      <w:pPr>
        <w:ind w:left="567"/>
        <w:rPr>
          <w:rFonts w:eastAsiaTheme="minorHAnsi"/>
          <w:szCs w:val="21"/>
          <w:shd w:val="clear" w:color="auto" w:fill="FFFFFF" w:themeFill="background1"/>
        </w:rPr>
      </w:pPr>
    </w:p>
    <w:p w14:paraId="7F402986" w14:textId="77777777" w:rsidR="003B3E89" w:rsidRPr="009C03D4" w:rsidRDefault="003B3E89" w:rsidP="003B3E89">
      <w:pPr>
        <w:ind w:left="567"/>
        <w:rPr>
          <w:rFonts w:eastAsiaTheme="minorHAnsi"/>
          <w:szCs w:val="21"/>
          <w:shd w:val="clear" w:color="auto" w:fill="FFFFFF" w:themeFill="background1"/>
        </w:rPr>
      </w:pPr>
      <w:r w:rsidRPr="009C03D4">
        <w:rPr>
          <w:rFonts w:eastAsiaTheme="minorHAnsi"/>
          <w:szCs w:val="21"/>
          <w:shd w:val="clear" w:color="auto" w:fill="FFFFFF" w:themeFill="background1"/>
        </w:rPr>
        <w:t>4) The public safety exception, allowing for un-Mirandized questioning when public safety is at risk, is vaguely defined and leads to confusion on when it can be justifiably invoked.</w:t>
      </w:r>
    </w:p>
    <w:p w14:paraId="5B85FB62" w14:textId="77777777" w:rsidR="003B3E89" w:rsidRPr="009C03D4" w:rsidRDefault="003B3E89" w:rsidP="003B3E89">
      <w:pPr>
        <w:ind w:left="567"/>
        <w:rPr>
          <w:rFonts w:eastAsiaTheme="minorHAnsi"/>
          <w:szCs w:val="21"/>
          <w:shd w:val="clear" w:color="auto" w:fill="FFFFFF" w:themeFill="background1"/>
        </w:rPr>
      </w:pPr>
    </w:p>
    <w:p w14:paraId="3E09B931" w14:textId="77777777" w:rsidR="003B3E89" w:rsidRPr="009C03D4" w:rsidRDefault="003B3E89" w:rsidP="003B3E89">
      <w:pPr>
        <w:ind w:left="567"/>
        <w:rPr>
          <w:rFonts w:eastAsiaTheme="minorHAnsi"/>
          <w:szCs w:val="21"/>
          <w:shd w:val="clear" w:color="auto" w:fill="FFFFFF" w:themeFill="background1"/>
        </w:rPr>
      </w:pPr>
      <w:r w:rsidRPr="009C03D4">
        <w:rPr>
          <w:rFonts w:eastAsiaTheme="minorHAnsi"/>
          <w:szCs w:val="21"/>
          <w:shd w:val="clear" w:color="auto" w:fill="FFFFFF" w:themeFill="background1"/>
        </w:rPr>
        <w:t>5) A suspect can invoke their Miranda rights and refuse to talk without a lawyer present, but confusion exists over rules pertaining to re-questioning after a significant amount of time has lapsed.</w:t>
      </w:r>
    </w:p>
    <w:p w14:paraId="1612576F" w14:textId="77777777" w:rsidR="003B3E89" w:rsidRPr="009C03D4" w:rsidRDefault="003B3E89" w:rsidP="003B3E89">
      <w:pPr>
        <w:ind w:left="567"/>
        <w:rPr>
          <w:rFonts w:eastAsiaTheme="minorHAnsi"/>
          <w:szCs w:val="21"/>
          <w:shd w:val="clear" w:color="auto" w:fill="FFFFFF" w:themeFill="background1"/>
        </w:rPr>
      </w:pPr>
    </w:p>
    <w:p w14:paraId="58B0ED80" w14:textId="77777777" w:rsidR="003B3E89" w:rsidRPr="009C03D4" w:rsidRDefault="003B3E89" w:rsidP="003B3E89">
      <w:pPr>
        <w:ind w:left="567"/>
        <w:rPr>
          <w:rFonts w:eastAsiaTheme="minorHAnsi"/>
          <w:szCs w:val="21"/>
          <w:shd w:val="clear" w:color="auto" w:fill="FFFFFF" w:themeFill="background1"/>
        </w:rPr>
      </w:pPr>
      <w:r w:rsidRPr="009C03D4">
        <w:rPr>
          <w:rFonts w:eastAsiaTheme="minorHAnsi"/>
          <w:szCs w:val="21"/>
          <w:shd w:val="clear" w:color="auto" w:fill="FFFFFF" w:themeFill="background1"/>
        </w:rPr>
        <w:t>6) There's also no clear age limit or guidelines outlined in the case considering juveniles, which leaves room for potential misinterpretation when dealing with minor suspects.</w:t>
      </w:r>
    </w:p>
    <w:p w14:paraId="16943FD6" w14:textId="77777777" w:rsidR="003B3E89" w:rsidRPr="009C03D4" w:rsidRDefault="003B3E89" w:rsidP="003B3E89">
      <w:pPr>
        <w:ind w:left="567"/>
        <w:rPr>
          <w:rFonts w:eastAsiaTheme="minorHAnsi"/>
          <w:szCs w:val="21"/>
          <w:shd w:val="clear" w:color="auto" w:fill="FFFFFF" w:themeFill="background1"/>
        </w:rPr>
      </w:pPr>
    </w:p>
    <w:p w14:paraId="5061C3A4" w14:textId="77777777" w:rsidR="003B3E89" w:rsidRPr="009C03D4" w:rsidRDefault="003B3E89" w:rsidP="003B3E89">
      <w:pPr>
        <w:ind w:left="567"/>
        <w:rPr>
          <w:rFonts w:eastAsiaTheme="minorHAnsi"/>
          <w:szCs w:val="21"/>
          <w:shd w:val="clear" w:color="auto" w:fill="FFFFFF" w:themeFill="background1"/>
        </w:rPr>
      </w:pPr>
      <w:r w:rsidRPr="009C03D4">
        <w:rPr>
          <w:rFonts w:eastAsiaTheme="minorHAnsi"/>
          <w:szCs w:val="21"/>
          <w:shd w:val="clear" w:color="auto" w:fill="FFFFFF" w:themeFill="background1"/>
        </w:rPr>
        <w:t>7) Although the Miranda v. Arizona ruling was meant to curtail forceful police interrogations, it did not fully address the issue of police using psychological pressure tactics on suspects.</w:t>
      </w:r>
    </w:p>
    <w:p w14:paraId="519B4EAE" w14:textId="77777777" w:rsidR="003B3E89" w:rsidRPr="009C03D4" w:rsidRDefault="003B3E89" w:rsidP="003B3E89">
      <w:pPr>
        <w:ind w:left="567"/>
        <w:rPr>
          <w:rFonts w:eastAsiaTheme="minorHAnsi"/>
          <w:szCs w:val="21"/>
          <w:shd w:val="clear" w:color="auto" w:fill="FFFFFF" w:themeFill="background1"/>
        </w:rPr>
      </w:pPr>
    </w:p>
    <w:p w14:paraId="4E265CD3" w14:textId="77777777" w:rsidR="003B3E89" w:rsidRPr="009C03D4" w:rsidRDefault="003B3E89" w:rsidP="003B3E89">
      <w:pPr>
        <w:ind w:left="567"/>
        <w:rPr>
          <w:rFonts w:eastAsiaTheme="minorHAnsi"/>
          <w:szCs w:val="21"/>
          <w:shd w:val="clear" w:color="auto" w:fill="FFFFFF" w:themeFill="background1"/>
        </w:rPr>
      </w:pPr>
      <w:r w:rsidRPr="009C03D4">
        <w:rPr>
          <w:rFonts w:eastAsiaTheme="minorHAnsi"/>
          <w:szCs w:val="21"/>
          <w:shd w:val="clear" w:color="auto" w:fill="FFFFFF" w:themeFill="background1"/>
        </w:rPr>
        <w:t>8) The case does not specify whether non-English speakers or those with cognitive impairments are to be given special considerations when being read their Miranda rights.</w:t>
      </w:r>
    </w:p>
    <w:p w14:paraId="30C3EEE8" w14:textId="77777777" w:rsidR="003B3E89" w:rsidRPr="009C03D4" w:rsidRDefault="003B3E89" w:rsidP="003B3E89">
      <w:pPr>
        <w:ind w:left="567"/>
        <w:rPr>
          <w:rFonts w:eastAsiaTheme="minorHAnsi"/>
          <w:szCs w:val="21"/>
          <w:shd w:val="clear" w:color="auto" w:fill="FFFFFF" w:themeFill="background1"/>
        </w:rPr>
      </w:pPr>
    </w:p>
    <w:p w14:paraId="67B11578" w14:textId="77777777" w:rsidR="003B3E89" w:rsidRPr="009C03D4" w:rsidRDefault="003B3E89" w:rsidP="003B3E89">
      <w:pPr>
        <w:rPr>
          <w:rFonts w:eastAsiaTheme="minorHAnsi"/>
          <w:szCs w:val="21"/>
          <w:shd w:val="clear" w:color="auto" w:fill="FFFFFF" w:themeFill="background1"/>
        </w:rPr>
      </w:pPr>
    </w:p>
    <w:p w14:paraId="37366A38" w14:textId="03DCA509" w:rsidR="003B3E89" w:rsidRPr="009C03D4" w:rsidRDefault="002E0FAC" w:rsidP="0075583F">
      <w:pPr>
        <w:pStyle w:val="a9"/>
        <w:ind w:left="360"/>
        <w:rPr>
          <w:rFonts w:eastAsiaTheme="minorHAnsi"/>
          <w:szCs w:val="21"/>
          <w:shd w:val="clear" w:color="auto" w:fill="FFFFFF" w:themeFill="background1"/>
        </w:rPr>
      </w:pPr>
      <w:r w:rsidRPr="009C03D4">
        <w:rPr>
          <w:rFonts w:eastAsiaTheme="minorHAnsi" w:hint="eastAsia"/>
          <w:szCs w:val="21"/>
          <w:shd w:val="clear" w:color="auto" w:fill="FFFFFF" w:themeFill="background1"/>
        </w:rPr>
        <w:t>参考：</w:t>
      </w:r>
    </w:p>
    <w:p w14:paraId="0C03B21E" w14:textId="1E128C72" w:rsidR="002E0FAC" w:rsidRPr="009C03D4" w:rsidRDefault="002E0FAC" w:rsidP="0075583F">
      <w:pPr>
        <w:pStyle w:val="a9"/>
        <w:ind w:left="360"/>
        <w:rPr>
          <w:rFonts w:eastAsiaTheme="minorHAnsi"/>
          <w:szCs w:val="21"/>
          <w:shd w:val="clear" w:color="auto" w:fill="FFFFFF" w:themeFill="background1"/>
        </w:rPr>
      </w:pPr>
      <w:hyperlink r:id="rId7" w:history="1">
        <w:r w:rsidRPr="009C03D4">
          <w:rPr>
            <w:rStyle w:val="af0"/>
            <w:rFonts w:eastAsiaTheme="minorHAnsi"/>
            <w:szCs w:val="21"/>
            <w:shd w:val="clear" w:color="auto" w:fill="FFFFFF" w:themeFill="background1"/>
          </w:rPr>
          <w:t>https://www.uscourts.gov/educational-resources/educational</w:t>
        </w:r>
        <w:r w:rsidRPr="009C03D4">
          <w:rPr>
            <w:rStyle w:val="af0"/>
            <w:rFonts w:eastAsiaTheme="minorHAnsi"/>
            <w:szCs w:val="21"/>
            <w:shd w:val="clear" w:color="auto" w:fill="FFFFFF" w:themeFill="background1"/>
          </w:rPr>
          <w:t>-</w:t>
        </w:r>
        <w:r w:rsidRPr="009C03D4">
          <w:rPr>
            <w:rStyle w:val="af0"/>
            <w:rFonts w:eastAsiaTheme="minorHAnsi"/>
            <w:szCs w:val="21"/>
            <w:shd w:val="clear" w:color="auto" w:fill="FFFFFF" w:themeFill="background1"/>
          </w:rPr>
          <w:t>activities/facts-and-case-summary-miranda-v-arizona</w:t>
        </w:r>
      </w:hyperlink>
    </w:p>
    <w:p w14:paraId="678ADB5A" w14:textId="73474D4F" w:rsidR="002E0FAC" w:rsidRPr="009C03D4" w:rsidRDefault="002E0FAC" w:rsidP="0075583F">
      <w:pPr>
        <w:pStyle w:val="a9"/>
        <w:ind w:left="360"/>
        <w:rPr>
          <w:rFonts w:eastAsiaTheme="minorHAnsi"/>
          <w:szCs w:val="21"/>
          <w:shd w:val="clear" w:color="auto" w:fill="FFFFFF" w:themeFill="background1"/>
        </w:rPr>
      </w:pPr>
      <w:hyperlink r:id="rId8" w:history="1">
        <w:r w:rsidRPr="009C03D4">
          <w:rPr>
            <w:rStyle w:val="af0"/>
            <w:rFonts w:eastAsiaTheme="minorHAnsi"/>
            <w:szCs w:val="21"/>
            <w:shd w:val="clear" w:color="auto" w:fill="FFFFFF" w:themeFill="background1"/>
          </w:rPr>
          <w:t>https://www.oyez.org/cases/1965/759</w:t>
        </w:r>
      </w:hyperlink>
    </w:p>
    <w:p w14:paraId="7BDE6D8A" w14:textId="1AA9AD05" w:rsidR="002E0FAC" w:rsidRPr="009C03D4" w:rsidRDefault="002E0FAC" w:rsidP="0075583F">
      <w:pPr>
        <w:pStyle w:val="a9"/>
        <w:ind w:left="360"/>
        <w:rPr>
          <w:rFonts w:eastAsiaTheme="minorHAnsi"/>
          <w:szCs w:val="21"/>
          <w:shd w:val="clear" w:color="auto" w:fill="FFFFFF" w:themeFill="background1"/>
        </w:rPr>
      </w:pPr>
      <w:hyperlink r:id="rId9" w:history="1">
        <w:r w:rsidRPr="009C03D4">
          <w:rPr>
            <w:rStyle w:val="af0"/>
            <w:rFonts w:eastAsiaTheme="minorHAnsi"/>
            <w:szCs w:val="21"/>
            <w:shd w:val="clear" w:color="auto" w:fill="FFFFFF" w:themeFill="background1"/>
          </w:rPr>
          <w:t>https://guides.loc.gov/latinx-civil-rights/miranda-v-arizona</w:t>
        </w:r>
      </w:hyperlink>
    </w:p>
    <w:p w14:paraId="6BD3753F" w14:textId="26A157F9" w:rsidR="002E0FAC" w:rsidRPr="009C03D4" w:rsidRDefault="002E0FAC" w:rsidP="0075583F">
      <w:pPr>
        <w:pStyle w:val="a9"/>
        <w:ind w:left="360"/>
        <w:rPr>
          <w:rFonts w:eastAsiaTheme="minorHAnsi"/>
          <w:szCs w:val="21"/>
          <w:shd w:val="clear" w:color="auto" w:fill="FFFFFF" w:themeFill="background1"/>
        </w:rPr>
      </w:pPr>
      <w:hyperlink r:id="rId10" w:history="1">
        <w:r w:rsidRPr="009C03D4">
          <w:rPr>
            <w:rStyle w:val="af0"/>
            <w:rFonts w:eastAsiaTheme="minorHAnsi"/>
            <w:szCs w:val="21"/>
            <w:shd w:val="clear" w:color="auto" w:fill="FFFFFF" w:themeFill="background1"/>
          </w:rPr>
          <w:t>https://en.wikipedia.org/wiki/Miranda_v._Arizona</w:t>
        </w:r>
      </w:hyperlink>
    </w:p>
    <w:p w14:paraId="1A29FDA3" w14:textId="722F9873" w:rsidR="002E0FAC" w:rsidRPr="009C03D4" w:rsidRDefault="002E0FAC" w:rsidP="0075583F">
      <w:pPr>
        <w:pStyle w:val="a9"/>
        <w:ind w:left="360"/>
        <w:rPr>
          <w:rFonts w:eastAsiaTheme="minorHAnsi"/>
          <w:szCs w:val="21"/>
          <w:shd w:val="clear" w:color="auto" w:fill="FFFFFF" w:themeFill="background1"/>
        </w:rPr>
      </w:pPr>
    </w:p>
    <w:p w14:paraId="6F552BC3" w14:textId="77777777" w:rsidR="002E0FAC" w:rsidRPr="009C03D4" w:rsidRDefault="002E0FAC" w:rsidP="0075583F">
      <w:pPr>
        <w:pStyle w:val="a9"/>
        <w:ind w:left="360"/>
        <w:rPr>
          <w:rFonts w:eastAsiaTheme="minorHAnsi" w:hint="eastAsia"/>
          <w:szCs w:val="21"/>
          <w:shd w:val="clear" w:color="auto" w:fill="FFFFFF" w:themeFill="background1"/>
        </w:rPr>
      </w:pPr>
    </w:p>
    <w:p w14:paraId="311DC93C" w14:textId="77777777" w:rsidR="003B3E89" w:rsidRPr="009C03D4" w:rsidRDefault="003B3E89" w:rsidP="0075583F">
      <w:pPr>
        <w:pStyle w:val="a9"/>
        <w:ind w:left="360"/>
        <w:rPr>
          <w:rFonts w:eastAsiaTheme="minorHAnsi"/>
          <w:szCs w:val="21"/>
          <w:shd w:val="clear" w:color="auto" w:fill="FFFFFF" w:themeFill="background1"/>
        </w:rPr>
      </w:pPr>
    </w:p>
    <w:p w14:paraId="346FEEC4" w14:textId="77777777" w:rsidR="003B3E89" w:rsidRPr="009C03D4" w:rsidRDefault="003B3E89" w:rsidP="0075583F">
      <w:pPr>
        <w:pStyle w:val="a9"/>
        <w:ind w:left="360"/>
        <w:rPr>
          <w:rFonts w:eastAsiaTheme="minorHAnsi"/>
          <w:szCs w:val="21"/>
          <w:shd w:val="clear" w:color="auto" w:fill="FFFFFF" w:themeFill="background1"/>
        </w:rPr>
      </w:pPr>
    </w:p>
    <w:p w14:paraId="1FA97CB4" w14:textId="77777777" w:rsidR="003B3E89" w:rsidRPr="009C03D4" w:rsidRDefault="003B3E89" w:rsidP="0075583F">
      <w:pPr>
        <w:pStyle w:val="a9"/>
        <w:ind w:left="360"/>
        <w:rPr>
          <w:rFonts w:eastAsiaTheme="minorHAnsi"/>
          <w:szCs w:val="21"/>
          <w:shd w:val="clear" w:color="auto" w:fill="FFFFFF" w:themeFill="background1"/>
        </w:rPr>
      </w:pPr>
    </w:p>
    <w:p w14:paraId="5EF714B6" w14:textId="77777777" w:rsidR="003B3E89" w:rsidRPr="009C03D4" w:rsidRDefault="003B3E89" w:rsidP="0075583F">
      <w:pPr>
        <w:pStyle w:val="a9"/>
        <w:ind w:left="360"/>
        <w:rPr>
          <w:rFonts w:eastAsiaTheme="minorHAnsi"/>
          <w:szCs w:val="21"/>
          <w:shd w:val="clear" w:color="auto" w:fill="FFFFFF" w:themeFill="background1"/>
        </w:rPr>
      </w:pPr>
    </w:p>
    <w:p w14:paraId="57435015" w14:textId="77777777" w:rsidR="003B3E89" w:rsidRPr="009C03D4" w:rsidRDefault="003B3E89" w:rsidP="0075583F">
      <w:pPr>
        <w:pStyle w:val="a9"/>
        <w:ind w:left="360"/>
        <w:rPr>
          <w:rFonts w:eastAsiaTheme="minorHAnsi"/>
          <w:szCs w:val="21"/>
          <w:shd w:val="clear" w:color="auto" w:fill="FFFFFF" w:themeFill="background1"/>
        </w:rPr>
      </w:pPr>
    </w:p>
    <w:p w14:paraId="3852E201" w14:textId="77777777" w:rsidR="003B3E89" w:rsidRPr="009C03D4" w:rsidRDefault="003B3E89" w:rsidP="0075583F">
      <w:pPr>
        <w:pStyle w:val="a9"/>
        <w:ind w:left="360"/>
        <w:rPr>
          <w:rFonts w:eastAsiaTheme="minorHAnsi"/>
          <w:szCs w:val="21"/>
          <w:shd w:val="clear" w:color="auto" w:fill="FFFFFF" w:themeFill="background1"/>
        </w:rPr>
      </w:pPr>
    </w:p>
    <w:p w14:paraId="63E09864" w14:textId="77777777" w:rsidR="003B3E89" w:rsidRPr="009C03D4" w:rsidRDefault="003B3E89" w:rsidP="0075583F">
      <w:pPr>
        <w:pStyle w:val="a9"/>
        <w:ind w:left="360"/>
        <w:rPr>
          <w:rFonts w:eastAsiaTheme="minorHAnsi"/>
          <w:szCs w:val="21"/>
          <w:shd w:val="clear" w:color="auto" w:fill="FFFFFF" w:themeFill="background1"/>
        </w:rPr>
      </w:pPr>
    </w:p>
    <w:p w14:paraId="3A638F35" w14:textId="77777777" w:rsidR="003B3E89" w:rsidRPr="009C03D4" w:rsidRDefault="003B3E89" w:rsidP="0075583F">
      <w:pPr>
        <w:pStyle w:val="a9"/>
        <w:ind w:left="360"/>
        <w:rPr>
          <w:rFonts w:eastAsiaTheme="minorHAnsi"/>
          <w:szCs w:val="21"/>
          <w:shd w:val="clear" w:color="auto" w:fill="FFFFFF" w:themeFill="background1"/>
        </w:rPr>
      </w:pPr>
    </w:p>
    <w:p w14:paraId="0F3F8A42" w14:textId="77777777" w:rsidR="003B3E89" w:rsidRPr="009C03D4" w:rsidRDefault="003B3E89" w:rsidP="0075583F">
      <w:pPr>
        <w:pStyle w:val="a9"/>
        <w:ind w:left="360"/>
        <w:rPr>
          <w:rFonts w:eastAsiaTheme="minorHAnsi"/>
          <w:szCs w:val="21"/>
          <w:shd w:val="clear" w:color="auto" w:fill="FFFFFF" w:themeFill="background1"/>
        </w:rPr>
      </w:pPr>
    </w:p>
    <w:p w14:paraId="273A0984" w14:textId="77777777" w:rsidR="003B3E89" w:rsidRPr="009C03D4" w:rsidRDefault="003B3E89" w:rsidP="0075583F">
      <w:pPr>
        <w:pStyle w:val="a9"/>
        <w:ind w:left="360"/>
        <w:rPr>
          <w:rFonts w:eastAsiaTheme="minorHAnsi"/>
          <w:szCs w:val="21"/>
          <w:shd w:val="clear" w:color="auto" w:fill="FFFFFF" w:themeFill="background1"/>
        </w:rPr>
      </w:pPr>
    </w:p>
    <w:p w14:paraId="2A164BF0" w14:textId="77777777" w:rsidR="003B3E89" w:rsidRPr="009C03D4" w:rsidRDefault="003B3E89" w:rsidP="0075583F">
      <w:pPr>
        <w:pStyle w:val="a9"/>
        <w:ind w:left="360"/>
        <w:rPr>
          <w:rFonts w:eastAsiaTheme="minorHAnsi"/>
          <w:szCs w:val="21"/>
          <w:shd w:val="clear" w:color="auto" w:fill="FFFFFF" w:themeFill="background1"/>
        </w:rPr>
      </w:pPr>
    </w:p>
    <w:p w14:paraId="2D5CD47F" w14:textId="77777777" w:rsidR="003B3E89" w:rsidRPr="009C03D4" w:rsidRDefault="003B3E89" w:rsidP="0075583F">
      <w:pPr>
        <w:pStyle w:val="a9"/>
        <w:ind w:left="360"/>
        <w:rPr>
          <w:rFonts w:eastAsiaTheme="minorHAnsi"/>
          <w:szCs w:val="21"/>
          <w:shd w:val="clear" w:color="auto" w:fill="FFFFFF" w:themeFill="background1"/>
        </w:rPr>
      </w:pPr>
    </w:p>
    <w:p w14:paraId="025747B9" w14:textId="77777777" w:rsidR="003B3E89" w:rsidRPr="009C03D4" w:rsidRDefault="003B3E89" w:rsidP="0075583F">
      <w:pPr>
        <w:pStyle w:val="a9"/>
        <w:ind w:left="360"/>
        <w:rPr>
          <w:rFonts w:eastAsiaTheme="minorHAnsi"/>
          <w:szCs w:val="21"/>
          <w:shd w:val="clear" w:color="auto" w:fill="FFFFFF" w:themeFill="background1"/>
        </w:rPr>
      </w:pPr>
    </w:p>
    <w:p w14:paraId="36B0932F" w14:textId="77777777" w:rsidR="003B3E89" w:rsidRPr="009C03D4" w:rsidRDefault="003B3E89" w:rsidP="0075583F">
      <w:pPr>
        <w:pStyle w:val="a9"/>
        <w:ind w:left="360"/>
        <w:rPr>
          <w:rFonts w:eastAsiaTheme="minorHAnsi"/>
          <w:szCs w:val="21"/>
          <w:shd w:val="clear" w:color="auto" w:fill="FFFFFF" w:themeFill="background1"/>
        </w:rPr>
      </w:pPr>
    </w:p>
    <w:p w14:paraId="5B922E09" w14:textId="77777777" w:rsidR="003B3E89" w:rsidRPr="009C03D4" w:rsidRDefault="003B3E89" w:rsidP="0075583F">
      <w:pPr>
        <w:pStyle w:val="a9"/>
        <w:ind w:left="360"/>
        <w:rPr>
          <w:rFonts w:eastAsiaTheme="minorHAnsi"/>
          <w:szCs w:val="21"/>
          <w:shd w:val="clear" w:color="auto" w:fill="FFFFFF" w:themeFill="background1"/>
        </w:rPr>
      </w:pPr>
    </w:p>
    <w:p w14:paraId="3353119F" w14:textId="77777777" w:rsidR="003B3E89" w:rsidRPr="009C03D4" w:rsidRDefault="003B3E89" w:rsidP="0075583F">
      <w:pPr>
        <w:pStyle w:val="a9"/>
        <w:ind w:left="360"/>
        <w:rPr>
          <w:rFonts w:eastAsiaTheme="minorHAnsi"/>
          <w:szCs w:val="21"/>
          <w:shd w:val="clear" w:color="auto" w:fill="FFFFFF" w:themeFill="background1"/>
        </w:rPr>
      </w:pPr>
    </w:p>
    <w:p w14:paraId="38996FBB" w14:textId="77777777" w:rsidR="003B3E89" w:rsidRPr="009C03D4" w:rsidRDefault="003B3E89" w:rsidP="0075583F">
      <w:pPr>
        <w:pStyle w:val="a9"/>
        <w:ind w:left="360"/>
        <w:rPr>
          <w:rFonts w:eastAsiaTheme="minorHAnsi"/>
          <w:szCs w:val="21"/>
          <w:shd w:val="clear" w:color="auto" w:fill="FFFFFF" w:themeFill="background1"/>
        </w:rPr>
      </w:pPr>
    </w:p>
    <w:p w14:paraId="0F49ECFB" w14:textId="77777777" w:rsidR="003B3E89" w:rsidRPr="009C03D4" w:rsidRDefault="003B3E89" w:rsidP="0075583F">
      <w:pPr>
        <w:pStyle w:val="a9"/>
        <w:ind w:left="360"/>
        <w:rPr>
          <w:rFonts w:eastAsiaTheme="minorHAnsi"/>
          <w:szCs w:val="21"/>
          <w:shd w:val="clear" w:color="auto" w:fill="FFFFFF" w:themeFill="background1"/>
        </w:rPr>
      </w:pPr>
    </w:p>
    <w:p w14:paraId="1CC73EBE" w14:textId="77777777" w:rsidR="003B3E89" w:rsidRPr="009C03D4" w:rsidRDefault="003B3E89" w:rsidP="0075583F">
      <w:pPr>
        <w:pStyle w:val="a9"/>
        <w:ind w:left="360"/>
        <w:rPr>
          <w:rFonts w:eastAsiaTheme="minorHAnsi"/>
          <w:szCs w:val="21"/>
          <w:shd w:val="clear" w:color="auto" w:fill="FFFFFF" w:themeFill="background1"/>
        </w:rPr>
      </w:pPr>
    </w:p>
    <w:p w14:paraId="0923268E" w14:textId="77777777" w:rsidR="003B3E89" w:rsidRPr="009C03D4" w:rsidRDefault="003B3E89" w:rsidP="0075583F">
      <w:pPr>
        <w:pStyle w:val="a9"/>
        <w:ind w:left="360"/>
        <w:rPr>
          <w:rFonts w:eastAsiaTheme="minorHAnsi"/>
          <w:szCs w:val="21"/>
          <w:shd w:val="clear" w:color="auto" w:fill="FFFFFF" w:themeFill="background1"/>
        </w:rPr>
      </w:pPr>
    </w:p>
    <w:p w14:paraId="7B337DC6" w14:textId="77777777" w:rsidR="003B3E89" w:rsidRPr="009C03D4" w:rsidRDefault="003B3E89" w:rsidP="0075583F">
      <w:pPr>
        <w:pStyle w:val="a9"/>
        <w:ind w:left="360"/>
        <w:rPr>
          <w:rFonts w:eastAsiaTheme="minorHAnsi" w:hint="eastAsia"/>
          <w:szCs w:val="21"/>
          <w:shd w:val="clear" w:color="auto" w:fill="FFFFFF" w:themeFill="background1"/>
        </w:rPr>
      </w:pPr>
    </w:p>
    <w:sectPr w:rsidR="003B3E89" w:rsidRPr="009C0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UICTFontTextStyleBody">
    <w:charset w:val="00"/>
    <w:family w:val="auto"/>
    <w:pitch w:val="default"/>
  </w:font>
  <w:font w:name=".applesystemuifont">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614C"/>
    <w:multiLevelType w:val="multilevel"/>
    <w:tmpl w:val="C636AEF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1F8B5937"/>
    <w:multiLevelType w:val="hybridMultilevel"/>
    <w:tmpl w:val="96667194"/>
    <w:lvl w:ilvl="0" w:tplc="4100024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A680114"/>
    <w:multiLevelType w:val="multilevel"/>
    <w:tmpl w:val="365017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701637"/>
    <w:multiLevelType w:val="multilevel"/>
    <w:tmpl w:val="C88A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7801CB"/>
    <w:multiLevelType w:val="multilevel"/>
    <w:tmpl w:val="D45E9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9A535B"/>
    <w:multiLevelType w:val="hybridMultilevel"/>
    <w:tmpl w:val="C546825A"/>
    <w:lvl w:ilvl="0" w:tplc="AE5C6C36">
      <w:start w:val="1"/>
      <w:numFmt w:val="japaneseCounting"/>
      <w:lvlText w:val="%1．"/>
      <w:lvlJc w:val="left"/>
      <w:pPr>
        <w:ind w:left="780" w:hanging="42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6" w15:restartNumberingAfterBreak="0">
    <w:nsid w:val="6CB94F1E"/>
    <w:multiLevelType w:val="multilevel"/>
    <w:tmpl w:val="DF6A6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2529611">
    <w:abstractNumId w:val="1"/>
  </w:num>
  <w:num w:numId="2" w16cid:durableId="1554270197">
    <w:abstractNumId w:val="0"/>
  </w:num>
  <w:num w:numId="3" w16cid:durableId="2091539561">
    <w:abstractNumId w:val="6"/>
  </w:num>
  <w:num w:numId="4" w16cid:durableId="391735748">
    <w:abstractNumId w:val="4"/>
  </w:num>
  <w:num w:numId="5" w16cid:durableId="1005789422">
    <w:abstractNumId w:val="2"/>
  </w:num>
  <w:num w:numId="6" w16cid:durableId="1193417342">
    <w:abstractNumId w:val="3"/>
  </w:num>
  <w:num w:numId="7" w16cid:durableId="273561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C5"/>
    <w:rsid w:val="000561BC"/>
    <w:rsid w:val="00227534"/>
    <w:rsid w:val="00282E6A"/>
    <w:rsid w:val="00286B65"/>
    <w:rsid w:val="002E0FAC"/>
    <w:rsid w:val="003001E7"/>
    <w:rsid w:val="003B3E89"/>
    <w:rsid w:val="00467EC8"/>
    <w:rsid w:val="0075583F"/>
    <w:rsid w:val="007C5F07"/>
    <w:rsid w:val="008B2E43"/>
    <w:rsid w:val="008D1421"/>
    <w:rsid w:val="0095126E"/>
    <w:rsid w:val="009C01C4"/>
    <w:rsid w:val="009C03D4"/>
    <w:rsid w:val="00CE0B6C"/>
    <w:rsid w:val="00DC6DC0"/>
    <w:rsid w:val="00F904F6"/>
    <w:rsid w:val="00FB7DC5"/>
    <w:rsid w:val="00FD6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3583"/>
  <w15:chartTrackingRefBased/>
  <w15:docId w15:val="{071D28A4-7019-49AD-BE1D-603567B0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7DC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B7DC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B7DC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B7DC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B7DC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B7DC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B7DC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DC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B7DC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DC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B7DC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B7DC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B7DC5"/>
    <w:rPr>
      <w:rFonts w:cstheme="majorBidi"/>
      <w:color w:val="0F4761" w:themeColor="accent1" w:themeShade="BF"/>
      <w:sz w:val="28"/>
      <w:szCs w:val="28"/>
    </w:rPr>
  </w:style>
  <w:style w:type="character" w:customStyle="1" w:styleId="50">
    <w:name w:val="标题 5 字符"/>
    <w:basedOn w:val="a0"/>
    <w:link w:val="5"/>
    <w:uiPriority w:val="9"/>
    <w:semiHidden/>
    <w:rsid w:val="00FB7DC5"/>
    <w:rPr>
      <w:rFonts w:cstheme="majorBidi"/>
      <w:color w:val="0F4761" w:themeColor="accent1" w:themeShade="BF"/>
      <w:sz w:val="24"/>
      <w:szCs w:val="24"/>
    </w:rPr>
  </w:style>
  <w:style w:type="character" w:customStyle="1" w:styleId="60">
    <w:name w:val="标题 6 字符"/>
    <w:basedOn w:val="a0"/>
    <w:link w:val="6"/>
    <w:uiPriority w:val="9"/>
    <w:semiHidden/>
    <w:rsid w:val="00FB7DC5"/>
    <w:rPr>
      <w:rFonts w:cstheme="majorBidi"/>
      <w:b/>
      <w:bCs/>
      <w:color w:val="0F4761" w:themeColor="accent1" w:themeShade="BF"/>
    </w:rPr>
  </w:style>
  <w:style w:type="character" w:customStyle="1" w:styleId="70">
    <w:name w:val="标题 7 字符"/>
    <w:basedOn w:val="a0"/>
    <w:link w:val="7"/>
    <w:uiPriority w:val="9"/>
    <w:semiHidden/>
    <w:rsid w:val="00FB7DC5"/>
    <w:rPr>
      <w:rFonts w:cstheme="majorBidi"/>
      <w:b/>
      <w:bCs/>
      <w:color w:val="595959" w:themeColor="text1" w:themeTint="A6"/>
    </w:rPr>
  </w:style>
  <w:style w:type="character" w:customStyle="1" w:styleId="80">
    <w:name w:val="标题 8 字符"/>
    <w:basedOn w:val="a0"/>
    <w:link w:val="8"/>
    <w:uiPriority w:val="9"/>
    <w:semiHidden/>
    <w:rsid w:val="00FB7DC5"/>
    <w:rPr>
      <w:rFonts w:cstheme="majorBidi"/>
      <w:color w:val="595959" w:themeColor="text1" w:themeTint="A6"/>
    </w:rPr>
  </w:style>
  <w:style w:type="character" w:customStyle="1" w:styleId="90">
    <w:name w:val="标题 9 字符"/>
    <w:basedOn w:val="a0"/>
    <w:link w:val="9"/>
    <w:uiPriority w:val="9"/>
    <w:semiHidden/>
    <w:rsid w:val="00FB7DC5"/>
    <w:rPr>
      <w:rFonts w:eastAsiaTheme="majorEastAsia" w:cstheme="majorBidi"/>
      <w:color w:val="595959" w:themeColor="text1" w:themeTint="A6"/>
    </w:rPr>
  </w:style>
  <w:style w:type="paragraph" w:styleId="a3">
    <w:name w:val="Title"/>
    <w:basedOn w:val="a"/>
    <w:next w:val="a"/>
    <w:link w:val="a4"/>
    <w:uiPriority w:val="10"/>
    <w:qFormat/>
    <w:rsid w:val="00FB7D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D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D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D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DC5"/>
    <w:pPr>
      <w:spacing w:before="160" w:after="160"/>
      <w:jc w:val="center"/>
    </w:pPr>
    <w:rPr>
      <w:i/>
      <w:iCs/>
      <w:color w:val="404040" w:themeColor="text1" w:themeTint="BF"/>
    </w:rPr>
  </w:style>
  <w:style w:type="character" w:customStyle="1" w:styleId="a8">
    <w:name w:val="引用 字符"/>
    <w:basedOn w:val="a0"/>
    <w:link w:val="a7"/>
    <w:uiPriority w:val="29"/>
    <w:rsid w:val="00FB7DC5"/>
    <w:rPr>
      <w:i/>
      <w:iCs/>
      <w:color w:val="404040" w:themeColor="text1" w:themeTint="BF"/>
    </w:rPr>
  </w:style>
  <w:style w:type="paragraph" w:styleId="a9">
    <w:name w:val="List Paragraph"/>
    <w:basedOn w:val="a"/>
    <w:uiPriority w:val="34"/>
    <w:qFormat/>
    <w:rsid w:val="00FB7DC5"/>
    <w:pPr>
      <w:ind w:left="720"/>
      <w:contextualSpacing/>
    </w:pPr>
  </w:style>
  <w:style w:type="character" w:styleId="aa">
    <w:name w:val="Intense Emphasis"/>
    <w:basedOn w:val="a0"/>
    <w:uiPriority w:val="21"/>
    <w:qFormat/>
    <w:rsid w:val="00FB7DC5"/>
    <w:rPr>
      <w:i/>
      <w:iCs/>
      <w:color w:val="0F4761" w:themeColor="accent1" w:themeShade="BF"/>
    </w:rPr>
  </w:style>
  <w:style w:type="paragraph" w:styleId="ab">
    <w:name w:val="Intense Quote"/>
    <w:basedOn w:val="a"/>
    <w:next w:val="a"/>
    <w:link w:val="ac"/>
    <w:uiPriority w:val="30"/>
    <w:qFormat/>
    <w:rsid w:val="00FB7D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B7DC5"/>
    <w:rPr>
      <w:i/>
      <w:iCs/>
      <w:color w:val="0F4761" w:themeColor="accent1" w:themeShade="BF"/>
    </w:rPr>
  </w:style>
  <w:style w:type="character" w:styleId="ad">
    <w:name w:val="Intense Reference"/>
    <w:basedOn w:val="a0"/>
    <w:uiPriority w:val="32"/>
    <w:qFormat/>
    <w:rsid w:val="00FB7DC5"/>
    <w:rPr>
      <w:b/>
      <w:bCs/>
      <w:smallCaps/>
      <w:color w:val="0F4761" w:themeColor="accent1" w:themeShade="BF"/>
      <w:spacing w:val="5"/>
    </w:rPr>
  </w:style>
  <w:style w:type="character" w:customStyle="1" w:styleId="s1">
    <w:name w:val="s1"/>
    <w:basedOn w:val="a0"/>
    <w:rsid w:val="003B3E89"/>
    <w:rPr>
      <w:rFonts w:ascii="UICTFontTextStyleBody" w:eastAsia="UICTFontTextStyleBody" w:hAnsi="UICTFontTextStyleBody" w:cs="UICTFontTextStyleBody"/>
      <w:sz w:val="25"/>
      <w:szCs w:val="25"/>
    </w:rPr>
  </w:style>
  <w:style w:type="paragraph" w:customStyle="1" w:styleId="p1">
    <w:name w:val="p1"/>
    <w:basedOn w:val="a"/>
    <w:rsid w:val="003B3E89"/>
    <w:pPr>
      <w:spacing w:line="278" w:lineRule="auto"/>
      <w:jc w:val="left"/>
    </w:pPr>
    <w:rPr>
      <w:rFonts w:ascii=".applesystemuifont" w:eastAsia=".applesystemuifont" w:hAnsi=".applesystemuifont" w:cs="Times New Roman"/>
      <w:kern w:val="0"/>
      <w:sz w:val="25"/>
      <w:szCs w:val="25"/>
    </w:rPr>
  </w:style>
  <w:style w:type="paragraph" w:customStyle="1" w:styleId="p2">
    <w:name w:val="p2"/>
    <w:basedOn w:val="a"/>
    <w:rsid w:val="003B3E89"/>
    <w:pPr>
      <w:spacing w:line="278" w:lineRule="auto"/>
      <w:jc w:val="left"/>
    </w:pPr>
    <w:rPr>
      <w:rFonts w:ascii=".applesystemuifont" w:eastAsia=".applesystemuifont" w:hAnsi=".applesystemuifont" w:cs="Times New Roman"/>
      <w:kern w:val="0"/>
      <w:sz w:val="25"/>
      <w:szCs w:val="25"/>
    </w:rPr>
  </w:style>
  <w:style w:type="paragraph" w:styleId="ae">
    <w:name w:val="Normal (Web)"/>
    <w:basedOn w:val="a"/>
    <w:uiPriority w:val="99"/>
    <w:unhideWhenUsed/>
    <w:rsid w:val="00282E6A"/>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22"/>
    <w:qFormat/>
    <w:rsid w:val="00282E6A"/>
    <w:rPr>
      <w:b/>
      <w:bCs/>
    </w:rPr>
  </w:style>
  <w:style w:type="character" w:styleId="af0">
    <w:name w:val="Hyperlink"/>
    <w:basedOn w:val="a0"/>
    <w:uiPriority w:val="99"/>
    <w:unhideWhenUsed/>
    <w:rsid w:val="009C01C4"/>
    <w:rPr>
      <w:color w:val="0000FF"/>
      <w:u w:val="single"/>
    </w:rPr>
  </w:style>
  <w:style w:type="character" w:styleId="af1">
    <w:name w:val="FollowedHyperlink"/>
    <w:basedOn w:val="a0"/>
    <w:uiPriority w:val="99"/>
    <w:semiHidden/>
    <w:unhideWhenUsed/>
    <w:rsid w:val="008B2E43"/>
    <w:rPr>
      <w:color w:val="96607D" w:themeColor="followedHyperlink"/>
      <w:u w:val="single"/>
    </w:rPr>
  </w:style>
  <w:style w:type="character" w:styleId="af2">
    <w:name w:val="Unresolved Mention"/>
    <w:basedOn w:val="a0"/>
    <w:uiPriority w:val="99"/>
    <w:semiHidden/>
    <w:unhideWhenUsed/>
    <w:rsid w:val="002E0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2731">
      <w:bodyDiv w:val="1"/>
      <w:marLeft w:val="0"/>
      <w:marRight w:val="0"/>
      <w:marTop w:val="0"/>
      <w:marBottom w:val="0"/>
      <w:divBdr>
        <w:top w:val="none" w:sz="0" w:space="0" w:color="auto"/>
        <w:left w:val="none" w:sz="0" w:space="0" w:color="auto"/>
        <w:bottom w:val="none" w:sz="0" w:space="0" w:color="auto"/>
        <w:right w:val="none" w:sz="0" w:space="0" w:color="auto"/>
      </w:divBdr>
    </w:div>
    <w:div w:id="428350801">
      <w:bodyDiv w:val="1"/>
      <w:marLeft w:val="0"/>
      <w:marRight w:val="0"/>
      <w:marTop w:val="0"/>
      <w:marBottom w:val="0"/>
      <w:divBdr>
        <w:top w:val="none" w:sz="0" w:space="0" w:color="auto"/>
        <w:left w:val="none" w:sz="0" w:space="0" w:color="auto"/>
        <w:bottom w:val="none" w:sz="0" w:space="0" w:color="auto"/>
        <w:right w:val="none" w:sz="0" w:space="0" w:color="auto"/>
      </w:divBdr>
    </w:div>
    <w:div w:id="1209800030">
      <w:bodyDiv w:val="1"/>
      <w:marLeft w:val="0"/>
      <w:marRight w:val="0"/>
      <w:marTop w:val="0"/>
      <w:marBottom w:val="0"/>
      <w:divBdr>
        <w:top w:val="none" w:sz="0" w:space="0" w:color="auto"/>
        <w:left w:val="none" w:sz="0" w:space="0" w:color="auto"/>
        <w:bottom w:val="none" w:sz="0" w:space="0" w:color="auto"/>
        <w:right w:val="none" w:sz="0" w:space="0" w:color="auto"/>
      </w:divBdr>
    </w:div>
    <w:div w:id="1349067948">
      <w:bodyDiv w:val="1"/>
      <w:marLeft w:val="0"/>
      <w:marRight w:val="0"/>
      <w:marTop w:val="0"/>
      <w:marBottom w:val="0"/>
      <w:divBdr>
        <w:top w:val="none" w:sz="0" w:space="0" w:color="auto"/>
        <w:left w:val="none" w:sz="0" w:space="0" w:color="auto"/>
        <w:bottom w:val="none" w:sz="0" w:space="0" w:color="auto"/>
        <w:right w:val="none" w:sz="0" w:space="0" w:color="auto"/>
      </w:divBdr>
    </w:div>
    <w:div w:id="20265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yez.org/cases/1965/759" TargetMode="External"/><Relationship Id="rId3" Type="http://schemas.openxmlformats.org/officeDocument/2006/relationships/styles" Target="styles.xml"/><Relationship Id="rId7" Type="http://schemas.openxmlformats.org/officeDocument/2006/relationships/hyperlink" Target="https://www.uscourts.gov/educational-resources/educational-activities/facts-and-case-summary-miranda-v-arizon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courts.gov/educational-resources/educational-activities/facts-and-case-summary-miranda-v-arizon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Miranda_v._Arizona" TargetMode="External"/><Relationship Id="rId4" Type="http://schemas.openxmlformats.org/officeDocument/2006/relationships/settings" Target="settings.xml"/><Relationship Id="rId9" Type="http://schemas.openxmlformats.org/officeDocument/2006/relationships/hyperlink" Target="https://guides.loc.gov/latinx-civil-rights/miranda-v-arizon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5DD2D-A52F-419F-A856-8088FBD5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6</Pages>
  <Words>1920</Words>
  <Characters>10947</Characters>
  <Application>Microsoft Office Word</Application>
  <DocSecurity>0</DocSecurity>
  <Lines>91</Lines>
  <Paragraphs>25</Paragraphs>
  <ScaleCrop>false</ScaleCrop>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1220009142@student.must.edu.mo</dc:creator>
  <cp:keywords/>
  <dc:description/>
  <cp:lastModifiedBy>1220009142@student.must.edu.mo</cp:lastModifiedBy>
  <cp:revision>11</cp:revision>
  <dcterms:created xsi:type="dcterms:W3CDTF">2024-03-09T13:39:00Z</dcterms:created>
  <dcterms:modified xsi:type="dcterms:W3CDTF">2024-03-10T15:07:00Z</dcterms:modified>
</cp:coreProperties>
</file>